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51"/>
        <w:rPr>
          <w:color w:val="000000"/>
          <w:sz w:val="28"/>
        </w:rPr>
      </w:pPr>
      <w:r>
        <w:rPr>
          <w:sz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4" t="19685" r="35560" b="0"/>
                <wp:wrapNone/>
                <wp:docPr id="1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0" name="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0" o:spid="_x0000_s0000" style="position:absolute;z-index:251658240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,914">
                <v:shape id="shape 1" o:spid="_x0000_s1" o:spt="1" type="#_x0000_t1" style="position:absolute;left:0;top:0;width:22;height:878;visibility:visible;" fillcolor="#4472C4" strokecolor="#F2F2F2" strokeweight="3.00pt"/>
                <v:shape id="shape 2" o:spid="_x0000_s2" o:spt="1" type="#_x0000_t1" style="position:absolute;left:0;top:891;width:22;height:22;visibility:visible;" fillcolor="#1F4E79" stroked="f"/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11705" cy="2286000"/>
                <wp:effectExtent l="0" t="0" r="0" b="0"/>
                <wp:docPr id="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21170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74.15pt;height:180.0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color w:val="000000"/>
          <w:sz w:val="28"/>
        </w:rPr>
      </w:r>
    </w:p>
    <w:p>
      <w:pPr>
        <w:pStyle w:val="962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962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962"/>
        <w:ind w:firstLine="0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962"/>
        <w:ind w:firstLine="0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  <w:t xml:space="preserve">ИНСТРУКЦИЯ ДЛЯ ЗАКАЗЧИКОВ</w:t>
      </w:r>
      <w:r>
        <w:rPr>
          <w:b/>
          <w:i w:val="0"/>
          <w:color w:val="000000"/>
          <w:szCs w:val="28"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  <w:t xml:space="preserve">работа в государственной информационной системе </w:t>
      </w:r>
      <w:r>
        <w:rPr>
          <w:b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  <w:t xml:space="preserve">в сфере закупок Новосибирской области</w:t>
      </w:r>
      <w:r>
        <w:rPr>
          <w:b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</w:r>
      <w:r>
        <w:rPr>
          <w:b/>
        </w:rPr>
      </w:r>
    </w:p>
    <w:p>
      <w:pPr>
        <w:ind w:firstLine="0"/>
        <w:jc w:val="center"/>
        <w:rPr>
          <w:b/>
          <w:color w:val="2f5496"/>
          <w:sz w:val="40"/>
        </w:rPr>
      </w:pPr>
      <w:r>
        <w:rPr>
          <w:b/>
          <w:color w:val="2f5496"/>
          <w:sz w:val="40"/>
        </w:rPr>
        <w:t xml:space="preserve">ПРОЕКТЫ КОНТРАКТОВ</w:t>
      </w:r>
      <w:r>
        <w:rPr>
          <w:b/>
          <w:color w:val="2f5496"/>
          <w:sz w:val="40"/>
        </w:rPr>
      </w:r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ind w:firstLine="0"/>
        <w:jc w:val="center"/>
        <w:spacing w:line="240" w:lineRule="auto"/>
      </w:pPr>
      <w:r>
        <w:rPr>
          <w:b/>
        </w:rPr>
        <w:br w:type="page" w:clear="all"/>
      </w:r>
      <w:r>
        <w:t xml:space="preserve">Содержание</w:t>
      </w:r>
      <w:r/>
    </w:p>
    <w:p>
      <w:pPr>
        <w:ind w:firstLine="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981"/>
        <w:tabs>
          <w:tab w:val="left" w:pos="567" w:leader="none"/>
        </w:tabs>
      </w:pPr>
      <w:r>
        <w:rPr>
          <w:sz w:val="28"/>
        </w:rPr>
        <w:fldChar w:fldCharType="begin"/>
      </w:r>
      <w:r>
        <w:rPr>
          <w:sz w:val="28"/>
        </w:rPr>
        <w:instrText xml:space="preserve"> TOC \o "1-2" \h \z \u </w:instrText>
      </w:r>
      <w:r>
        <w:rPr>
          <w:sz w:val="28"/>
        </w:rPr>
        <w:fldChar w:fldCharType="separate"/>
      </w:r>
      <w:hyperlink w:tooltip="#_Toc1" w:anchor="_Toc1" w:history="1">
        <w:r>
          <w:t xml:space="preserve">1</w:t>
        </w:r>
        <w:r>
          <w:tab/>
        </w:r>
        <w:r>
          <w:rPr>
            <w:rStyle w:val="924"/>
          </w:rPr>
          <w:t xml:space="preserve"> Описание порядка работы с интерфейсом «Проекты контрактов» по результату определения поставщика (подрядчика, исполнителя)</w:t>
        </w:r>
        <w:r>
          <w:tab/>
        </w:r>
        <w:r>
          <w:fldChar w:fldCharType="begin"/>
        </w:r>
        <w:r>
          <w:instrText xml:space="preserve">PAGEREF _Toc1 \h</w:instrText>
        </w:r>
        <w:r>
          <w:fldChar w:fldCharType="separate"/>
        </w:r>
        <w:r>
          <w:t xml:space="preserve">3</w:t>
        </w:r>
        <w:r>
          <w:fldChar w:fldCharType="end"/>
        </w:r>
      </w:hyperlink>
      <w:r/>
      <w:r/>
    </w:p>
    <w:p>
      <w:pPr>
        <w:pStyle w:val="981"/>
        <w:tabs>
          <w:tab w:val="left" w:pos="567" w:leader="none"/>
        </w:tabs>
      </w:pPr>
      <w:r/>
      <w:hyperlink w:tooltip="#_Toc2" w:anchor="_Toc2" w:history="1">
        <w:r>
          <w:t xml:space="preserve">2</w:t>
        </w:r>
        <w:r>
          <w:tab/>
        </w:r>
        <w:r>
          <w:rPr>
            <w:rStyle w:val="924"/>
          </w:rPr>
          <w:t xml:space="preserve">Описание порядка работы с интерфейсом «Проекты контрактов» при заключении контракта с единственным поставщиком (подрядчиком, исполнителем)</w:t>
        </w:r>
        <w:r>
          <w:tab/>
        </w:r>
        <w:r>
          <w:fldChar w:fldCharType="begin"/>
        </w:r>
        <w:r>
          <w:instrText xml:space="preserve">PAGEREF _Toc2 \h</w:instrText>
        </w:r>
        <w:r>
          <w:fldChar w:fldCharType="separate"/>
        </w:r>
        <w:r>
          <w:t xml:space="preserve">5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3" w:anchor="_Toc3" w:history="1">
        <w:r>
          <w:t xml:space="preserve">2.1</w:t>
        </w:r>
        <w:r>
          <w:tab/>
        </w:r>
        <w:r>
          <w:rPr>
            <w:rStyle w:val="924"/>
          </w:rPr>
          <w:t xml:space="preserve">Формирование проекта контракта с единственным поставщиком</w:t>
        </w:r>
        <w:r>
          <w:tab/>
        </w:r>
        <w:r>
          <w:fldChar w:fldCharType="begin"/>
        </w:r>
        <w:r>
          <w:instrText xml:space="preserve">PAGEREF _Toc3 \h</w:instrText>
        </w:r>
        <w:r>
          <w:fldChar w:fldCharType="separate"/>
        </w:r>
        <w:r>
          <w:t xml:space="preserve">8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4" w:anchor="_Toc4" w:history="1">
        <w:r>
          <w:t xml:space="preserve">2.2</w:t>
        </w:r>
        <w:r>
          <w:tab/>
        </w:r>
        <w:r>
          <w:rPr>
            <w:rStyle w:val="924"/>
          </w:rPr>
          <w:t xml:space="preserve">Заполнение общей информации о проекте контракта</w:t>
        </w:r>
        <w:r>
          <w:tab/>
        </w:r>
        <w:r>
          <w:fldChar w:fldCharType="begin"/>
        </w:r>
        <w:r>
          <w:instrText xml:space="preserve">PAGEREF _Toc4 \h</w:instrText>
        </w:r>
        <w:r>
          <w:fldChar w:fldCharType="separate"/>
        </w:r>
        <w:r>
          <w:t xml:space="preserve">9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5" w:anchor="_Toc5" w:history="1">
        <w:r>
          <w:t xml:space="preserve">2.3</w:t>
        </w:r>
        <w:r>
          <w:tab/>
        </w:r>
        <w:r>
          <w:rPr>
            <w:rStyle w:val="924"/>
          </w:rPr>
          <w:t xml:space="preserve">Заполнение раздела «Основание заключения контракта»</w:t>
        </w:r>
        <w:r>
          <w:tab/>
        </w:r>
        <w:r>
          <w:fldChar w:fldCharType="begin"/>
        </w:r>
        <w:r>
          <w:instrText xml:space="preserve">PAGEREF _Toc5 \h</w:instrText>
        </w:r>
        <w:r>
          <w:fldChar w:fldCharType="separate"/>
        </w:r>
        <w:r>
          <w:t xml:space="preserve">11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6" w:anchor="_Toc6" w:history="1">
        <w:r>
          <w:t xml:space="preserve">2.4</w:t>
        </w:r>
        <w:r>
          <w:tab/>
        </w:r>
        <w:r>
          <w:rPr>
            <w:rStyle w:val="924"/>
          </w:rPr>
          <w:t xml:space="preserve">Заполнение раздела «Информация об обеспечении исполнения контракта»</w:t>
        </w:r>
        <w:r>
          <w:tab/>
        </w:r>
        <w:r>
          <w:fldChar w:fldCharType="begin"/>
        </w:r>
        <w:r>
          <w:instrText xml:space="preserve">PAGEREF _Toc6 \h</w:instrText>
        </w:r>
        <w:r>
          <w:fldChar w:fldCharType="separate"/>
        </w:r>
        <w:r>
          <w:t xml:space="preserve">12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7" w:anchor="_Toc7" w:history="1">
        <w:r>
          <w:t xml:space="preserve">2.5</w:t>
        </w:r>
        <w:r>
          <w:tab/>
        </w:r>
        <w:r>
          <w:rPr>
            <w:rStyle w:val="924"/>
          </w:rPr>
          <w:t xml:space="preserve">Условия контракта</w:t>
        </w:r>
        <w:r>
          <w:tab/>
        </w:r>
        <w:r>
          <w:fldChar w:fldCharType="begin"/>
        </w:r>
        <w:r>
          <w:instrText xml:space="preserve">PAGEREF _Toc7 \h</w:instrText>
        </w:r>
        <w:r>
          <w:fldChar w:fldCharType="separate"/>
        </w:r>
        <w:r>
          <w:t xml:space="preserve">14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8" w:anchor="_Toc8" w:history="1">
        <w:r>
          <w:t xml:space="preserve">2.6</w:t>
        </w:r>
        <w:r>
          <w:tab/>
        </w:r>
        <w:r>
          <w:rPr>
            <w:rStyle w:val="924"/>
          </w:rPr>
          <w:t xml:space="preserve">Информация о контрагентах</w:t>
        </w:r>
        <w:r>
          <w:tab/>
        </w:r>
        <w:r>
          <w:fldChar w:fldCharType="begin"/>
        </w:r>
        <w:r>
          <w:instrText xml:space="preserve">PAGEREF _Toc8 \h</w:instrText>
        </w:r>
        <w:r>
          <w:fldChar w:fldCharType="separate"/>
        </w:r>
        <w:r>
          <w:t xml:space="preserve">15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9" w:anchor="_Toc9" w:history="1">
        <w:r>
          <w:t xml:space="preserve">2.7</w:t>
        </w:r>
        <w:r>
          <w:tab/>
        </w:r>
        <w:r>
          <w:rPr>
            <w:rStyle w:val="924"/>
          </w:rPr>
          <w:t xml:space="preserve">Заполнение информации о расчетном счете</w:t>
        </w:r>
        <w:r>
          <w:tab/>
        </w:r>
        <w:r>
          <w:fldChar w:fldCharType="begin"/>
        </w:r>
        <w:r>
          <w:instrText xml:space="preserve">PAGEREF _Toc9 \h</w:instrText>
        </w:r>
        <w:r>
          <w:fldChar w:fldCharType="separate"/>
        </w:r>
        <w:r>
          <w:t xml:space="preserve">17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10" w:anchor="_Toc10" w:history="1">
        <w:r>
          <w:t xml:space="preserve">2.8</w:t>
        </w:r>
        <w:r>
          <w:tab/>
        </w:r>
        <w:r>
          <w:rPr>
            <w:rStyle w:val="924"/>
          </w:rPr>
          <w:t xml:space="preserve">Места поставки товара, выполнения работ, оказания услуг</w:t>
        </w:r>
        <w:r>
          <w:tab/>
        </w:r>
        <w:r>
          <w:fldChar w:fldCharType="begin"/>
        </w:r>
        <w:r>
          <w:instrText xml:space="preserve">PAGEREF _Toc10 \h</w:instrText>
        </w:r>
        <w:r>
          <w:fldChar w:fldCharType="separate"/>
        </w:r>
        <w:r>
          <w:t xml:space="preserve">21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11" w:anchor="_Toc11" w:history="1">
        <w:r>
          <w:t xml:space="preserve">2.9</w:t>
        </w:r>
        <w:r>
          <w:tab/>
        </w:r>
        <w:r>
          <w:rPr>
            <w:rStyle w:val="924"/>
          </w:rPr>
          <w:t xml:space="preserve">Заполнение раздела «Информация о сроках исполнения контракта»</w:t>
        </w:r>
        <w:r>
          <w:tab/>
        </w:r>
        <w:r>
          <w:fldChar w:fldCharType="begin"/>
        </w:r>
        <w:r>
          <w:instrText xml:space="preserve">PAGEREF _Toc11 \h</w:instrText>
        </w:r>
        <w:r>
          <w:fldChar w:fldCharType="separate"/>
        </w:r>
        <w:r>
          <w:t xml:space="preserve">22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12" w:anchor="_Toc12" w:history="1">
        <w:r>
          <w:t xml:space="preserve">2.10</w:t>
        </w:r>
        <w:r>
          <w:tab/>
        </w:r>
        <w:r>
          <w:rPr>
            <w:rStyle w:val="924"/>
          </w:rPr>
          <w:t xml:space="preserve">Информация об оплате по контракту</w:t>
        </w:r>
        <w:r>
          <w:tab/>
        </w:r>
        <w:r>
          <w:fldChar w:fldCharType="begin"/>
        </w:r>
        <w:r>
          <w:instrText xml:space="preserve">PAGEREF _Toc12 \h</w:instrText>
        </w:r>
        <w:r>
          <w:fldChar w:fldCharType="separate"/>
        </w:r>
        <w:r>
          <w:t xml:space="preserve">24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13" w:anchor="_Toc13" w:history="1">
        <w:r>
          <w:t xml:space="preserve">2.11</w:t>
        </w:r>
        <w:r>
          <w:tab/>
        </w:r>
        <w:r>
          <w:rPr>
            <w:rStyle w:val="924"/>
          </w:rPr>
          <w:t xml:space="preserve">Информация об объекте закупки</w:t>
        </w:r>
        <w:r>
          <w:tab/>
        </w:r>
        <w:r>
          <w:fldChar w:fldCharType="begin"/>
        </w:r>
        <w:r>
          <w:instrText xml:space="preserve">PAGEREF _Toc13 \h</w:instrText>
        </w:r>
        <w:r>
          <w:fldChar w:fldCharType="separate"/>
        </w:r>
        <w:r>
          <w:t xml:space="preserve">24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14" w:anchor="_Toc14" w:history="1">
        <w:r>
          <w:t xml:space="preserve">2.12</w:t>
        </w:r>
        <w:r>
          <w:tab/>
        </w:r>
        <w:r>
          <w:rPr>
            <w:rStyle w:val="924"/>
          </w:rPr>
          <w:t xml:space="preserve">Заполнение раздела «Характеристики товара (работы, услуги)»</w:t>
        </w:r>
        <w:r>
          <w:tab/>
        </w:r>
        <w:r>
          <w:fldChar w:fldCharType="begin"/>
        </w:r>
        <w:r>
          <w:instrText xml:space="preserve">PAGEREF _Toc14 \h</w:instrText>
        </w:r>
        <w:r>
          <w:fldChar w:fldCharType="separate"/>
        </w:r>
        <w:r>
          <w:t xml:space="preserve">26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15" w:anchor="_Toc15" w:history="1">
        <w:r>
          <w:t xml:space="preserve">2.13</w:t>
        </w:r>
        <w:r>
          <w:tab/>
        </w:r>
        <w:r>
          <w:rPr>
            <w:rStyle w:val="924"/>
          </w:rPr>
          <w:t xml:space="preserve">Заполнение раздела «Товары, поставляемые заказчику при выполнении закупаемых работ, оказании закупаемых услуг»</w:t>
        </w:r>
        <w:r>
          <w:tab/>
        </w:r>
        <w:r>
          <w:fldChar w:fldCharType="begin"/>
        </w:r>
        <w:r>
          <w:instrText xml:space="preserve">PAGEREF _Toc15 \h</w:instrText>
        </w:r>
        <w:r>
          <w:fldChar w:fldCharType="separate"/>
        </w:r>
        <w:r>
          <w:t xml:space="preserve">32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16" w:anchor="_Toc16" w:history="1">
        <w:r>
          <w:t xml:space="preserve">2.14</w:t>
        </w:r>
        <w:r>
          <w:tab/>
        </w:r>
        <w:r>
          <w:rPr>
            <w:rStyle w:val="924"/>
          </w:rPr>
          <w:t xml:space="preserve">Заполнение раздела «Информация о финансовом обеспечении»</w:t>
        </w:r>
        <w:r>
          <w:tab/>
        </w:r>
        <w:r>
          <w:fldChar w:fldCharType="begin"/>
        </w:r>
        <w:r>
          <w:instrText xml:space="preserve">PAGEREF _Toc16 \h</w:instrText>
        </w:r>
        <w:r>
          <w:fldChar w:fldCharType="separate"/>
        </w:r>
        <w:r>
          <w:t xml:space="preserve">34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17" w:anchor="_Toc17" w:history="1">
        <w:r>
          <w:t xml:space="preserve">2.15</w:t>
        </w:r>
        <w:r>
          <w:tab/>
        </w:r>
        <w:r>
          <w:rPr>
            <w:rStyle w:val="924"/>
          </w:rPr>
          <w:t xml:space="preserve">Заполнение информации о вложениях</w:t>
        </w:r>
        <w:r>
          <w:tab/>
        </w:r>
        <w:r>
          <w:fldChar w:fldCharType="begin"/>
        </w:r>
        <w:r>
          <w:instrText xml:space="preserve">PAGEREF _Toc17 \h</w:instrText>
        </w:r>
        <w:r>
          <w:fldChar w:fldCharType="separate"/>
        </w:r>
        <w:r>
          <w:t xml:space="preserve">35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18" w:anchor="_Toc18" w:history="1">
        <w:r>
          <w:t xml:space="preserve">2.16</w:t>
        </w:r>
        <w:r>
          <w:tab/>
        </w:r>
        <w:r>
          <w:rPr>
            <w:rStyle w:val="924"/>
          </w:rPr>
          <w:t xml:space="preserve">Выполнение предварительных контролей</w:t>
        </w:r>
        <w:r>
          <w:tab/>
        </w:r>
        <w:r>
          <w:fldChar w:fldCharType="begin"/>
        </w:r>
        <w:r>
          <w:instrText xml:space="preserve">PAGEREF _Toc18 \h</w:instrText>
        </w:r>
        <w:r>
          <w:fldChar w:fldCharType="separate"/>
        </w:r>
        <w:r>
          <w:t xml:space="preserve">37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19" w:anchor="_Toc19" w:history="1">
        <w:r>
          <w:t xml:space="preserve">2.17</w:t>
        </w:r>
        <w:r>
          <w:tab/>
        </w:r>
        <w:r>
          <w:rPr>
            <w:rStyle w:val="924"/>
          </w:rPr>
          <w:t xml:space="preserve">Направление проекта контракта на Финансовый контроль</w:t>
        </w:r>
        <w:r>
          <w:tab/>
        </w:r>
        <w:r>
          <w:fldChar w:fldCharType="begin"/>
        </w:r>
        <w:r>
          <w:instrText xml:space="preserve">PAGEREF _Toc19 \h</w:instrText>
        </w:r>
        <w:r>
          <w:fldChar w:fldCharType="separate"/>
        </w:r>
        <w:r>
          <w:t xml:space="preserve">38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20" w:anchor="_Toc20" w:history="1">
        <w:r>
          <w:t xml:space="preserve">2.18</w:t>
        </w:r>
        <w:r>
          <w:tab/>
        </w:r>
        <w:r>
          <w:rPr>
            <w:rStyle w:val="924"/>
          </w:rPr>
          <w:t xml:space="preserve">Выгрузка проекта контракта в Единую информационную систему</w:t>
        </w:r>
        <w:r>
          <w:tab/>
        </w:r>
        <w:r>
          <w:fldChar w:fldCharType="begin"/>
        </w:r>
        <w:r>
          <w:instrText xml:space="preserve">PAGEREF _Toc20 \h</w:instrText>
        </w:r>
        <w:r>
          <w:fldChar w:fldCharType="separate"/>
        </w:r>
        <w:r>
          <w:t xml:space="preserve">41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21" w:anchor="_Toc21" w:history="1">
        <w:r>
          <w:t xml:space="preserve">2.19</w:t>
        </w:r>
        <w:r>
          <w:tab/>
        </w:r>
        <w:r>
          <w:rPr>
            <w:rStyle w:val="924"/>
          </w:rPr>
          <w:t xml:space="preserve">Выполнение операции «Формирование новой редакции документа»</w:t>
        </w:r>
        <w:r>
          <w:tab/>
        </w:r>
        <w:r>
          <w:fldChar w:fldCharType="begin"/>
        </w:r>
        <w:r>
          <w:instrText xml:space="preserve">PAGEREF _Toc21 \h</w:instrText>
        </w:r>
        <w:r>
          <w:fldChar w:fldCharType="separate"/>
        </w:r>
        <w:r>
          <w:t xml:space="preserve">43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22" w:anchor="_Toc22" w:history="1">
        <w:r>
          <w:t xml:space="preserve">2.20</w:t>
        </w:r>
        <w:r>
          <w:tab/>
        </w:r>
        <w:r>
          <w:rPr>
            <w:rStyle w:val="924"/>
          </w:rPr>
          <w:t xml:space="preserve">Выполнение операции «Формирование изменения документа»</w:t>
        </w:r>
        <w:r>
          <w:tab/>
        </w:r>
        <w:r>
          <w:fldChar w:fldCharType="begin"/>
        </w:r>
        <w:r>
          <w:instrText xml:space="preserve">PAGEREF _Toc22 \h</w:instrText>
        </w:r>
        <w:r>
          <w:fldChar w:fldCharType="separate"/>
        </w:r>
        <w:r>
          <w:t xml:space="preserve">44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23" w:anchor="_Toc23" w:history="1">
        <w:r>
          <w:t xml:space="preserve">2.21</w:t>
        </w:r>
        <w:r>
          <w:tab/>
        </w:r>
        <w:r>
          <w:rPr>
            <w:rStyle w:val="924"/>
          </w:rPr>
          <w:t xml:space="preserve">Выполнение операции «Формирование расторжения контракта»</w:t>
        </w:r>
        <w:r>
          <w:tab/>
        </w:r>
        <w:r>
          <w:fldChar w:fldCharType="begin"/>
        </w:r>
        <w:r>
          <w:instrText xml:space="preserve">PAGEREF _Toc23 \h</w:instrText>
        </w:r>
        <w:r>
          <w:fldChar w:fldCharType="separate"/>
        </w:r>
        <w:r>
          <w:t xml:space="preserve">46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24" w:anchor="_Toc24" w:history="1">
        <w:r>
          <w:t xml:space="preserve">2.22</w:t>
        </w:r>
        <w:r>
          <w:tab/>
        </w:r>
        <w:r>
          <w:rPr>
            <w:rStyle w:val="924"/>
          </w:rPr>
          <w:t xml:space="preserve">Отмена процедуры заключения контракта</w:t>
        </w:r>
        <w:r>
          <w:tab/>
        </w:r>
        <w:r>
          <w:fldChar w:fldCharType="begin"/>
        </w:r>
        <w:r>
          <w:instrText xml:space="preserve">PAGEREF _Toc24 \h</w:instrText>
        </w:r>
        <w:r>
          <w:fldChar w:fldCharType="separate"/>
        </w:r>
        <w:r>
          <w:t xml:space="preserve">48</w:t>
        </w:r>
        <w:r>
          <w:fldChar w:fldCharType="end"/>
        </w:r>
      </w:hyperlink>
      <w:r/>
      <w:r/>
    </w:p>
    <w:p>
      <w:pPr>
        <w:pStyle w:val="981"/>
        <w:tabs>
          <w:tab w:val="left" w:pos="567" w:leader="none"/>
        </w:tabs>
      </w:pPr>
      <w:r/>
      <w:hyperlink w:tooltip="#_Toc25" w:anchor="_Toc25" w:history="1">
        <w:r>
          <w:t xml:space="preserve">3</w:t>
        </w:r>
        <w:r>
          <w:tab/>
        </w:r>
        <w:r>
          <w:rPr>
            <w:rStyle w:val="924"/>
          </w:rPr>
          <w:t xml:space="preserve">Загрузка контракта, заключенного в электронном магазине</w:t>
        </w:r>
        <w:r>
          <w:tab/>
        </w:r>
        <w:r>
          <w:fldChar w:fldCharType="begin"/>
        </w:r>
        <w:r>
          <w:instrText xml:space="preserve">PAGEREF _Toc25 \h</w:instrText>
        </w:r>
        <w:r>
          <w:fldChar w:fldCharType="separate"/>
        </w:r>
        <w:r>
          <w:t xml:space="preserve">50</w:t>
        </w:r>
        <w:r>
          <w:fldChar w:fldCharType="end"/>
        </w:r>
      </w:hyperlink>
      <w:r/>
      <w:r/>
    </w:p>
    <w:p>
      <w:pPr>
        <w:pStyle w:val="985"/>
        <w:tabs>
          <w:tab w:val="left" w:pos="1134" w:leader="none"/>
        </w:tabs>
      </w:pPr>
      <w:r/>
      <w:hyperlink w:tooltip="#_Toc26" w:anchor="_Toc26" w:history="1">
        <w:r>
          <w:t xml:space="preserve">3.1</w:t>
        </w:r>
        <w:r>
          <w:tab/>
        </w:r>
        <w:r>
          <w:rPr>
            <w:rStyle w:val="924"/>
          </w:rPr>
          <w:t xml:space="preserve">Выполнение операции «Импорт контракта с «РТС-маркет»»</w:t>
        </w:r>
        <w:r>
          <w:tab/>
        </w:r>
        <w:r>
          <w:fldChar w:fldCharType="begin"/>
        </w:r>
        <w:r>
          <w:instrText xml:space="preserve">PAGEREF _Toc26 \h</w:instrText>
        </w:r>
        <w:r>
          <w:fldChar w:fldCharType="separate"/>
        </w:r>
        <w:r>
          <w:t xml:space="preserve">50</w:t>
        </w:r>
        <w:r>
          <w:fldChar w:fldCharType="end"/>
        </w:r>
      </w:hyperlink>
      <w:r/>
      <w:r/>
    </w:p>
    <w:p>
      <w:pPr>
        <w:pStyle w:val="759"/>
        <w:numPr>
          <w:ilvl w:val="0"/>
          <w:numId w:val="0"/>
        </w:numPr>
        <w:ind w:left="709"/>
        <w:spacing w:before="0" w:after="0"/>
        <w:tabs>
          <w:tab w:val="left" w:pos="142" w:leader="none"/>
        </w:tabs>
        <w:rPr>
          <w:sz w:val="28"/>
          <w:lang w:val="en-US"/>
        </w:rPr>
      </w:pPr>
      <w:r>
        <w:rPr>
          <w:sz w:val="28"/>
        </w:rPr>
        <w:fldChar w:fldCharType="end"/>
      </w:r>
      <w:r>
        <w:rPr>
          <w:sz w:val="28"/>
          <w:lang w:val="en-US"/>
        </w:rPr>
      </w:r>
    </w:p>
    <w:p>
      <w:pPr>
        <w:pStyle w:val="1012"/>
        <w:ind w:firstLine="0"/>
        <w:tabs>
          <w:tab w:val="right" w:pos="10195" w:leader="dot"/>
        </w:tabs>
        <w:rPr>
          <w:lang w:val="en-US"/>
        </w:rPr>
      </w:pPr>
      <w:r>
        <w:rPr>
          <w:lang w:val="en-US"/>
        </w:rPr>
      </w:r>
      <w:r>
        <w:rPr>
          <w:lang w:val="en-US"/>
        </w:rPr>
      </w:r>
    </w:p>
    <w:p>
      <w:pPr>
        <w:pStyle w:val="759"/>
        <w:numPr>
          <w:ilvl w:val="0"/>
          <w:numId w:val="10"/>
        </w:numPr>
        <w:ind w:left="0" w:firstLine="567"/>
        <w:rPr>
          <w:sz w:val="28"/>
        </w:rPr>
      </w:pPr>
      <w:r/>
      <w:bookmarkStart w:id="0" w:name="_Toc1"/>
      <w:r>
        <w:rPr>
          <w:sz w:val="28"/>
        </w:rPr>
        <w:br w:type="page" w:clear="all"/>
      </w:r>
      <w:r>
        <w:rPr>
          <w:sz w:val="28"/>
        </w:rPr>
        <w:t xml:space="preserve"> Описание порядка работы с интерфейсом «Проекты контрактов» по результату определения поставщика (подрядчика, исполнителя)</w:t>
      </w:r>
      <w:bookmarkEnd w:id="0"/>
      <w:r/>
      <w:r>
        <w:rPr>
          <w:sz w:val="28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</w:p>
    <w:p>
      <w:pPr>
        <w:pStyle w:val="928"/>
        <w:ind w:firstLine="709"/>
        <w:keepLines w:val="0"/>
        <w:tabs>
          <w:tab w:val="left" w:pos="1134" w:leader="none"/>
        </w:tabs>
      </w:pPr>
      <w:r>
        <w:rPr>
          <w:i/>
          <w:color w:val="7030a0"/>
        </w:rPr>
        <w:t xml:space="preserve">С 1 июля 2025 года заказчики обязаны заключать структурированные проекты контракта с единственным поставщиком по п. 24 и 25 ч. 1 ст. 93 Закона № 44-ФЗ.</w:t>
      </w:r>
      <w:r/>
    </w:p>
    <w:p>
      <w:pPr>
        <w:ind w:firstLine="0"/>
        <w:tabs>
          <w:tab w:val="left" w:pos="1134" w:leader="none"/>
        </w:tabs>
      </w:pPr>
      <w:r/>
      <w:r/>
    </w:p>
    <w:p>
      <w:pPr>
        <w:ind w:firstLine="567"/>
        <w:tabs>
          <w:tab w:val="left" w:pos="1134" w:leader="none"/>
        </w:tabs>
      </w:pPr>
      <w:r>
        <w:t xml:space="preserve">Порядок работы с проектами контрактов, заключаемых по результату проведения электронных процедур (в том числе по закупкам с единственным поставщиком в соответствии с ч.12 ст. 93 № 44-ФЗ):</w:t>
      </w:r>
      <w:r/>
    </w:p>
    <w:p>
      <w:pPr>
        <w:pStyle w:val="928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По окончанию определения поставщика (подрядчика, исполнителя) заказчик формирует с использованием ЕИС без своей подписи проект контракта в структурированном виде. Ознакомиться с инструкцией можно в Базе знаний в личном кабинете ЕИС по </w:t>
      </w:r>
      <w:hyperlink r:id="rId17" w:tooltip="https://lk.zakupki.gov.ru/kb/app/manuals-and-video" w:history="1">
        <w:r>
          <w:rPr>
            <w:rStyle w:val="924"/>
          </w:rPr>
          <w:t xml:space="preserve">ссылке</w:t>
        </w:r>
      </w:hyperlink>
      <w:r>
        <w:t xml:space="preserve">.</w:t>
      </w:r>
      <w:r/>
    </w:p>
    <w:p>
      <w:pPr>
        <w:pStyle w:val="928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Сформированный проект контракта в структурированном виде заказчик направляет с использованием ЕИС для последующего прохождения контроля в соответствии с частью 5 статьи 99 Закона о контрактной систе</w:t>
      </w:r>
      <w:r>
        <w:t xml:space="preserve">ме и размещения в ЕИС. Проект контракта направляется средствами ЕИС на электронную торговую площадку в личный кабинет участника, признанного победителем, для подписания проекта контракта поставщиком (подрядчиком, исполнителем). На площадке поставщик может:</w:t>
      </w:r>
      <w:r/>
    </w:p>
    <w:p>
      <w:pPr>
        <w:pStyle w:val="928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  <w:rPr>
          <w:b/>
          <w:bCs/>
        </w:rPr>
      </w:pPr>
      <w:r>
        <w:t xml:space="preserve">Подписать контракт. Эта информация загружается с площадки в личный кабинет ЕИС. </w:t>
      </w:r>
      <w:r>
        <w:rPr>
          <w:b/>
          <w:bCs/>
        </w:rPr>
      </w:r>
    </w:p>
    <w:p>
      <w:pPr>
        <w:pStyle w:val="928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</w:pPr>
      <w:r>
        <w:t xml:space="preserve">Сформировать протокол разногласий. Эта информация выгружается с площадки в личный кабинет ЕИС. В данном случае необходимо формировать новую редакцию проекта контракта.</w:t>
      </w:r>
      <w:r/>
    </w:p>
    <w:p>
      <w:pPr>
        <w:pStyle w:val="928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  <w:rPr>
          <w:b/>
          <w:bCs/>
        </w:rPr>
      </w:pPr>
      <w:r>
        <w:t xml:space="preserve">Уклониться от заключения контракта. Эта информация выгружается с площадки на ЕИС. При уклонении от заключения контракта заказчик может заключить контракт со вторым победителем закупки.</w:t>
      </w:r>
      <w:r>
        <w:rPr>
          <w:b/>
          <w:bCs/>
        </w:rPr>
      </w:r>
    </w:p>
    <w:p>
      <w:pPr>
        <w:pStyle w:val="928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  <w:rPr>
          <w:b/>
          <w:bCs/>
        </w:rPr>
      </w:pPr>
      <w:r>
        <w:t xml:space="preserve">Отказаться от заключения контракта. </w:t>
      </w:r>
      <w:r>
        <w:rPr>
          <w:b/>
          <w:bCs/>
        </w:rPr>
      </w:r>
    </w:p>
    <w:p>
      <w:pPr>
        <w:pStyle w:val="928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С использованием ЕИС заказчик подписывает контракт после подписания его поставщиком. </w:t>
      </w:r>
      <w:r/>
    </w:p>
    <w:p>
      <w:r>
        <w:t xml:space="preserve">Подписан</w:t>
      </w:r>
      <w:r>
        <w:t xml:space="preserve">ный проект контракта заказчиком и поставщиком (подрядчиком, исполнителем) автоматически загружается в ГИСЗ НСО. Документ создается в состоянии «Опубликован», статус документа «Подписан», а также загружается дата заключения контракта в соответствующем поле.</w:t>
      </w:r>
      <w:r/>
    </w:p>
    <w:p>
      <w:pPr>
        <w:pStyle w:val="928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После загрузки подписанного контракта заказчику необходимо в ЕИС сформировать сведение о контракте, которое автоматически загружается в ГИСЗ НСО.</w:t>
      </w:r>
      <w:r/>
    </w:p>
    <w:p>
      <w:pPr>
        <w:pStyle w:val="928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В случае, если по контракту подписывается соглашение об изменении контракта, с использованием ЕИС</w:t>
      </w:r>
      <w:r>
        <w:t xml:space="preserve"> заказчик формирует соглашение об изменении контракта в личном кабинете ЕИС в реестре проектов контракта и направляет поставщику. После подписания дополнительного соглашения поставщиком, заказчик подписывает дополнительное соглашение с использованием ЕИС. </w:t>
      </w:r>
      <w:r/>
    </w:p>
    <w:p>
      <w:r>
        <w:t xml:space="preserve">Подписанное соглашение об изменении контракта заказчиком и поставщиком (п</w:t>
      </w:r>
      <w:r>
        <w:t xml:space="preserve">одрядчиком, исполнителем) автоматически загружается в ГИСЗ НСО. Документ создается на интерфейсе «Проекты контрактов» в состоянии «Опубликован», статус документа «Подписан», а также загружается дата соглашения об изменении контракта в соответствующем поле.</w:t>
      </w:r>
      <w:r/>
    </w:p>
    <w:p>
      <w:pPr>
        <w:pStyle w:val="928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После загрузки в ГИСЗ НСО подписанного соглашения об изменении контракта заказчику необходимо в ЕИС сформировать изменение сведения о контракте, которое автоматически загружается в ГИСЗ НСО.</w:t>
      </w:r>
      <w:r/>
    </w:p>
    <w:p>
      <w:pPr>
        <w:contextualSpacing w:val="0"/>
        <w:ind w:firstLine="0"/>
        <w:jc w:val="left"/>
        <w:keepLines w:val="0"/>
        <w:spacing w:line="240" w:lineRule="auto"/>
      </w:pPr>
      <w:r>
        <w:br w:type="page" w:clear="all"/>
      </w:r>
      <w:r/>
    </w:p>
    <w:p>
      <w:pPr>
        <w:pStyle w:val="759"/>
        <w:ind w:left="0" w:firstLine="567"/>
        <w:tabs>
          <w:tab w:val="clear" w:pos="357" w:leader="none"/>
          <w:tab w:val="left" w:pos="851" w:leader="none"/>
        </w:tabs>
        <w:rPr>
          <w:sz w:val="28"/>
        </w:rPr>
      </w:pPr>
      <w:r/>
      <w:bookmarkStart w:id="1" w:name="_Toc2"/>
      <w:r>
        <w:rPr>
          <w:sz w:val="28"/>
        </w:rPr>
        <w:t xml:space="preserve">Описание порядка работы с интерфейсом «Проекты контрактов» при заключении контракта с единственным поставщиком (подрядчиком, исполнителем)</w:t>
      </w:r>
      <w:bookmarkEnd w:id="1"/>
      <w:r/>
      <w:r>
        <w:rPr>
          <w:sz w:val="28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</w:p>
    <w:p>
      <w:pPr>
        <w:pStyle w:val="928"/>
        <w:ind w:firstLine="709"/>
        <w:keepLines w:val="0"/>
        <w:tabs>
          <w:tab w:val="left" w:pos="1134" w:leader="none"/>
        </w:tabs>
        <w:rPr>
          <w:i/>
          <w:color w:val="7030a0"/>
        </w:rPr>
      </w:pPr>
      <w:r>
        <w:rPr>
          <w:i/>
          <w:iCs/>
          <w:color w:val="7030a0"/>
        </w:rPr>
        <w:t xml:space="preserve">Заказчикам уровня субъекта РФ при заключении контракта с единственным поставщиком (подрядчиком, исполнителем) в соответствии с п. 2, 3, 6, 6.1, 7, 10 - 14, 16, 17, 19, 22, 31 - 33, 35, 37 - </w:t>
      </w:r>
      <w:r>
        <w:rPr>
          <w:i/>
          <w:color w:val="7030a0"/>
        </w:rPr>
        <w:t xml:space="preserve">39, 47, 48, 54, 55 ч. 1 ст. 93 </w:t>
      </w:r>
      <w:r>
        <w:rPr>
          <w:i/>
          <w:color w:val="7030a0"/>
        </w:rPr>
        <w:t xml:space="preserve">Закона о контрактной системе</w:t>
      </w:r>
      <w:r>
        <w:rPr>
          <w:i/>
          <w:color w:val="7030a0"/>
        </w:rPr>
        <w:t xml:space="preserve"> необходимо сформировать проект контракта посредством ГИСЗ НСО и направить его в Систему</w:t>
      </w:r>
      <w:r>
        <w:rPr>
          <w:i/>
          <w:color w:val="7030a0"/>
        </w:rPr>
        <w:t xml:space="preserve"> исполнения бюджета (ПК «Веб-исполнение»)</w:t>
      </w:r>
      <w:r>
        <w:rPr>
          <w:i/>
          <w:color w:val="7030a0"/>
        </w:rPr>
        <w:t xml:space="preserve"> для проведения контроля финансовым органом в соответствии с частью 5 статьи 99 №44-ФЗ (</w:t>
      </w:r>
      <w:r>
        <w:rPr>
          <w:b/>
          <w:i/>
          <w:color w:val="7030a0"/>
        </w:rPr>
        <w:t xml:space="preserve">далее – Финансовый контроль</w:t>
      </w:r>
      <w:r>
        <w:rPr>
          <w:i/>
          <w:color w:val="7030a0"/>
        </w:rPr>
        <w:t xml:space="preserve">).</w:t>
      </w:r>
      <w:r>
        <w:rPr>
          <w:i/>
          <w:color w:val="7030a0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</w:p>
    <w:p>
      <w:pPr>
        <w:pStyle w:val="928"/>
        <w:ind w:firstLine="709"/>
        <w:keepLines w:val="0"/>
        <w:tabs>
          <w:tab w:val="left" w:pos="1134" w:leader="none"/>
        </w:tabs>
        <w:rPr>
          <w:i/>
          <w:color w:val="7030a0"/>
        </w:rPr>
      </w:pPr>
      <w:r>
        <w:rPr>
          <w:i/>
          <w:color w:val="7030a0"/>
        </w:rPr>
        <w:t xml:space="preserve">С 1 апреля 2025 года заказчики обязаны формировать структурированные проекты контракт</w:t>
      </w:r>
      <w:r>
        <w:rPr>
          <w:i/>
          <w:color w:val="7030a0"/>
        </w:rPr>
        <w:t xml:space="preserve">ов, заключенных</w:t>
      </w:r>
      <w:r>
        <w:rPr>
          <w:i/>
          <w:color w:val="7030a0"/>
        </w:rPr>
        <w:t xml:space="preserve"> с единственным </w:t>
      </w:r>
      <w:r>
        <w:rPr>
          <w:i/>
          <w:color w:val="7030a0"/>
        </w:rPr>
        <w:t xml:space="preserve">поставщиком </w:t>
      </w:r>
      <w:r>
        <w:rPr>
          <w:i/>
          <w:color w:val="7030a0"/>
        </w:rPr>
        <w:t xml:space="preserve">по основ</w:t>
      </w:r>
      <w:r>
        <w:rPr>
          <w:i/>
          <w:color w:val="7030a0"/>
        </w:rPr>
        <w:t xml:space="preserve">аниям, предусмотренным пунктами</w:t>
      </w:r>
      <w:r>
        <w:rPr>
          <w:i/>
          <w:color w:val="7030a0"/>
        </w:rPr>
        <w:t xml:space="preserve"> 2, 6, 6.1, 11, 12, 54 и 55</w:t>
      </w:r>
      <w:r>
        <w:rPr>
          <w:i/>
          <w:color w:val="7030a0"/>
        </w:rPr>
        <w:t xml:space="preserve"> </w:t>
      </w:r>
      <w:r>
        <w:rPr>
          <w:i/>
          <w:color w:val="7030a0"/>
        </w:rPr>
        <w:t xml:space="preserve">части 1 статьи 93 Закона о контрактной системе</w:t>
      </w:r>
      <w:r>
        <w:rPr>
          <w:i/>
          <w:color w:val="7030a0"/>
        </w:rPr>
        <w:t xml:space="preserve">. </w:t>
      </w:r>
      <w:r>
        <w:rPr>
          <w:i/>
          <w:color w:val="7030a0"/>
        </w:rPr>
        <w:t xml:space="preserve">Заключение контракта в таком случае осуществляется посредством ГИСЗ НСО с последующей выгрузкой проекта контракта в ЕИС.</w:t>
      </w:r>
      <w:r>
        <w:rPr>
          <w:i/>
          <w:color w:val="7030a0"/>
        </w:rPr>
      </w:r>
    </w:p>
    <w:p>
      <w:pPr>
        <w:pStyle w:val="928"/>
        <w:ind w:firstLine="709"/>
        <w:keepLines w:val="0"/>
        <w:tabs>
          <w:tab w:val="left" w:pos="1134" w:leader="none"/>
        </w:tabs>
      </w:pPr>
      <w:r>
        <w:rPr>
          <w:i/>
          <w:color w:val="7030a0"/>
        </w:rPr>
        <w:t xml:space="preserve">При этом возможно заключение контракта в структурированном виде посредством ГИСЗ НСО </w:t>
      </w:r>
      <w:r>
        <w:rPr>
          <w:i/>
          <w:color w:val="7030a0"/>
        </w:rPr>
        <w:t xml:space="preserve">по остальным основаниям части 1 статьи 93 Закона № 44-ФЗ (за исключением </w:t>
      </w:r>
      <w:r>
        <w:rPr>
          <w:i/>
          <w:color w:val="7030a0"/>
        </w:rPr>
        <w:t xml:space="preserve">пунктов </w:t>
      </w:r>
      <w:r>
        <w:rPr>
          <w:i/>
          <w:color w:val="7030a0"/>
        </w:rPr>
        <w:t xml:space="preserve">4, 5, 23, 42, 44 и 46 части 1 статьи 93 Закона о контрактной системе)</w:t>
      </w:r>
      <w:r>
        <w:rPr>
          <w:i/>
          <w:color w:val="7030a0"/>
        </w:rPr>
        <w:t xml:space="preserve">.</w:t>
      </w:r>
      <w:r/>
    </w:p>
    <w:p>
      <w:pPr>
        <w:ind w:firstLine="567"/>
        <w:tabs>
          <w:tab w:val="left" w:pos="1134" w:leader="none"/>
        </w:tabs>
      </w:pPr>
      <w:r>
        <w:t xml:space="preserve">Порядок работы с проектами контрактов, заключаемых с единственным поставщиком:</w:t>
      </w:r>
      <w:r/>
    </w:p>
    <w:p>
      <w:pPr>
        <w:pStyle w:val="928"/>
        <w:ind w:firstLine="709"/>
        <w:keepLines w:val="0"/>
        <w:tabs>
          <w:tab w:val="left" w:pos="1134" w:leader="none"/>
        </w:tabs>
      </w:pPr>
      <w:r>
        <w:t xml:space="preserve">1) </w:t>
      </w:r>
      <w:r>
        <w:t xml:space="preserve">Проект контракта в системе ГИСЗ НСО формируется из позиции плана-графика в состоянии «Опубли</w:t>
      </w:r>
      <w:r>
        <w:t xml:space="preserve">кована и загружена в систему исполнения бюджета» с помощью операции «Формирование проекта контракта», при этом документ создается в состоянии «Редактируется» и статус документа «Создан». Заказчик заполняет все необходимые поля и разделы проекта контракта. </w:t>
      </w:r>
      <w:r/>
    </w:p>
    <w:p>
      <w:pPr>
        <w:pStyle w:val="928"/>
        <w:ind w:firstLine="709"/>
        <w:keepLines w:val="0"/>
        <w:tabs>
          <w:tab w:val="left" w:pos="1134" w:leader="none"/>
        </w:tabs>
      </w:pPr>
      <w:r>
        <w:t xml:space="preserve">1.1)</w:t>
      </w:r>
      <w:r>
        <w:t xml:space="preserve"> </w:t>
      </w:r>
      <w:r>
        <w:t xml:space="preserve">При заключении контракта с единственным поставщиком (подрядчиком, исполнителем) в соответствии с пунктами 2, 3, 6, 6.1, 7, 10 - 14, 16, 17, 19, 22, 31 - 33, 35, </w:t>
      </w:r>
      <w:r>
        <w:t xml:space="preserve">37 - 39, 47, 48, 54, 55 части 1 статьи 93 Закона о контрактной системе Заказчик уровня субъекта РФ в обязательном порядке направляет проект контракта в систему</w:t>
      </w:r>
      <w:r>
        <w:t xml:space="preserve"> исполнения бюджета</w:t>
      </w:r>
      <w:r>
        <w:t xml:space="preserve"> для проведения Финансового контроля. </w:t>
      </w:r>
      <w:r/>
    </w:p>
    <w:p>
      <w:r>
        <w:t xml:space="preserve">1.1.1</w:t>
      </w:r>
      <w:r>
        <w:t xml:space="preserve">)</w:t>
      </w:r>
      <w:r>
        <w:t xml:space="preserve"> </w:t>
      </w:r>
      <w:r>
        <w:t xml:space="preserve">В</w:t>
      </w:r>
      <w:r>
        <w:t xml:space="preserve"> случае успешного прохождения Финансового контроля из системы</w:t>
      </w:r>
      <w:r>
        <w:t xml:space="preserve"> исполнения бюджета</w:t>
      </w:r>
      <w:r>
        <w:t xml:space="preserve"> для проведения Финансового контроля в ГИСЗ НСО загружается результат прохождения Финансового контроля, а также уведомление о соответствии контролируемой информации требованиям, установленным частью 5 статьи 99 Закона о контрактной системе.</w:t>
      </w:r>
      <w:r/>
    </w:p>
    <w:p>
      <w:pPr>
        <w:pStyle w:val="964"/>
        <w:ind w:left="0"/>
      </w:pPr>
      <w:r>
        <w:t xml:space="preserve">1.1.2) </w:t>
      </w:r>
      <w:r>
        <w:t xml:space="preserve">В</w:t>
      </w:r>
      <w:r>
        <w:t xml:space="preserve"> случае, если Финансовый контроль не пройден, то в ГИСЗ НСО из системы исполнения бюджета для проведения Финансового контроля загружается результат </w:t>
      </w:r>
      <w:r>
        <w:t xml:space="preserve">непрохождения</w:t>
      </w:r>
      <w:r>
        <w:t xml:space="preserve"> финансового контроля, а также протокол о несоответствии контролируемой информации требованиям, установленным частью 5 статьи 99 Закона о контрактной системе.</w:t>
      </w:r>
      <w:r/>
    </w:p>
    <w:p>
      <w:pPr>
        <w:pStyle w:val="964"/>
        <w:numPr>
          <w:ilvl w:val="2"/>
          <w:numId w:val="17"/>
        </w:numPr>
        <w:ind w:left="0" w:firstLine="709"/>
      </w:pPr>
      <w:r>
        <w:t xml:space="preserve">Заказчик формирует новую редакцию проекта контракта посредством ГИСЗ НСО и направляет ее в Систему исполнения для повторного проведения Финансового контроля.</w:t>
      </w:r>
      <w:r/>
    </w:p>
    <w:p>
      <w:pPr>
        <w:pStyle w:val="928"/>
        <w:numPr>
          <w:ilvl w:val="1"/>
          <w:numId w:val="18"/>
        </w:numPr>
        <w:ind w:left="0" w:firstLine="709"/>
        <w:keepLines w:val="0"/>
        <w:tabs>
          <w:tab w:val="left" w:pos="1134" w:leader="none"/>
        </w:tabs>
      </w:pPr>
      <w:r>
        <w:rPr>
          <w:color w:val="000000"/>
        </w:rPr>
        <w:t xml:space="preserve">В случае необходимости </w:t>
      </w:r>
      <w:r>
        <w:rPr>
          <w:b/>
          <w:color w:val="000000"/>
        </w:rPr>
        <w:t xml:space="preserve">заключения контракта в структурированном виде</w:t>
      </w:r>
      <w:r>
        <w:rPr>
          <w:color w:val="000000"/>
        </w:rPr>
        <w:t xml:space="preserve"> з</w:t>
      </w:r>
      <w:r>
        <w:rPr>
          <w:color w:val="000000"/>
        </w:rPr>
        <w:t xml:space="preserve">аказчик </w:t>
      </w:r>
      <w:r>
        <w:rPr>
          <w:color w:val="000000"/>
        </w:rPr>
        <w:t xml:space="preserve">отправляет проект контракта в ЕИС </w:t>
      </w:r>
      <w:r>
        <w:t xml:space="preserve">через действие «Разместить в ЕИС», документ при этом переходит в состояние «На размещении». </w:t>
      </w:r>
      <w:r>
        <w:rPr>
          <w:color w:val="000000"/>
        </w:rPr>
        <w:t xml:space="preserve">После перевода состояния в ГИСЗ НСО «На размещении», следует повторить выполнение действия по направлению структурированного проекта кон</w:t>
      </w:r>
      <w:r>
        <w:rPr>
          <w:color w:val="000000"/>
        </w:rPr>
        <w:t xml:space="preserve">тракта </w:t>
      </w:r>
      <w:r>
        <w:rPr>
          <w:color w:val="000000"/>
        </w:rPr>
        <w:t xml:space="preserve">в ЕИС (</w:t>
      </w:r>
      <w:r>
        <w:rPr>
          <w:color w:val="000000"/>
        </w:rPr>
        <w:t xml:space="preserve">в случае</w:t>
      </w:r>
      <w:r>
        <w:rPr>
          <w:color w:val="000000"/>
        </w:rPr>
        <w:t xml:space="preserve"> необходимости проведения Финансового контроля </w:t>
      </w:r>
      <w:r>
        <w:rPr>
          <w:color w:val="000000"/>
        </w:rPr>
        <w:t xml:space="preserve">выгрузка в ЕИС возможна только </w:t>
      </w:r>
      <w:r>
        <w:rPr>
          <w:color w:val="000000"/>
        </w:rPr>
        <w:t xml:space="preserve">после получения </w:t>
      </w:r>
      <w:r>
        <w:t xml:space="preserve">уведомления о соответствии контролируемой информации требованиям, установленным частью 5 статьи 99 Закона о контрактной системе)</w:t>
      </w:r>
      <w:r>
        <w:t xml:space="preserve">.</w:t>
      </w:r>
      <w:r/>
      <w:r>
        <w:rPr>
          <w:vanish/>
        </w:rPr>
      </w:r>
      <w:r>
        <w:rPr>
          <w:vanish/>
        </w:rPr>
      </w:r>
      <w:r/>
    </w:p>
    <w:p>
      <w:pPr>
        <w:pStyle w:val="928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Проект контракта направляется в личный кабинет участника закупки ЕИС для подписания проекта контракта поставщиком (подрядчиком, исполнителем).</w:t>
      </w:r>
      <w:r/>
    </w:p>
    <w:p>
      <w:pPr>
        <w:pStyle w:val="928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После подписания проекта контракта поставщиком (подрядчиком, исполнителем)</w:t>
      </w:r>
      <w:r>
        <w:t xml:space="preserve"> заказчик подписывает </w:t>
      </w:r>
      <w:r>
        <w:t xml:space="preserve">проект </w:t>
      </w:r>
      <w:r>
        <w:t xml:space="preserve">контракт</w:t>
      </w:r>
      <w:r>
        <w:t xml:space="preserve">а в личном кабинете ЕИС</w:t>
      </w:r>
      <w:r>
        <w:t xml:space="preserve">.</w:t>
      </w:r>
      <w:r/>
    </w:p>
    <w:p>
      <w:pPr>
        <w:pStyle w:val="928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В случае получения от поставщика (подрядчика, исполнителя) протокола разногласий заказчик формирует новую редакцию проекта контракта посредством </w:t>
      </w:r>
      <w:r>
        <w:t xml:space="preserve">ГИСЗ НСО, вносит при необходимости корректировки в проект контракта и повторно направляет на подписание поставщику (подрядчику, исполнителю) в личный кабинет участника закупки ЕИС.</w:t>
      </w:r>
      <w:r/>
    </w:p>
    <w:p>
      <w:pPr>
        <w:pStyle w:val="928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После того, как проект контракта подписан поставщиком</w:t>
      </w:r>
      <w:r>
        <w:t xml:space="preserve"> (подрядчиком, исполнителем)</w:t>
      </w:r>
      <w:r>
        <w:t xml:space="preserve"> и заказчиком, статус документа будет «Подписан», состояние документа останется «Опубликован».</w:t>
      </w:r>
      <w:r/>
    </w:p>
    <w:p>
      <w:pPr>
        <w:pStyle w:val="928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После публикации подписанного контракта заказчику необходимо сформировать сведения о контракте в ГИСЗ НСО на основании проекта контракта</w:t>
      </w:r>
      <w:r>
        <w:t xml:space="preserve"> для направления его в реестр контрактов ЕИС</w:t>
      </w:r>
      <w:r>
        <w:t xml:space="preserve">.</w:t>
      </w:r>
      <w:r/>
    </w:p>
    <w:p>
      <w:r>
        <w:tab/>
      </w:r>
      <w:r/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</w:p>
    <w:p>
      <w:pPr>
        <w:pStyle w:val="928"/>
        <w:ind w:firstLine="709"/>
        <w:keepLines w:val="0"/>
        <w:tabs>
          <w:tab w:val="left" w:pos="1134" w:leader="none"/>
        </w:tabs>
        <w:rPr>
          <w:bCs/>
          <w:i/>
          <w:color w:val="7030a0"/>
        </w:rPr>
      </w:pPr>
      <w:r>
        <w:rPr>
          <w:i/>
          <w:iCs/>
          <w:color w:val="7030a0"/>
        </w:rPr>
        <w:t xml:space="preserve">С 1 января 2025 года возможно размещ</w:t>
      </w:r>
      <w:r>
        <w:rPr>
          <w:i/>
          <w:iCs/>
          <w:color w:val="7030a0"/>
        </w:rPr>
        <w:t xml:space="preserve">ение в ЕИС </w:t>
      </w:r>
      <w:r>
        <w:rPr>
          <w:i/>
          <w:iCs/>
          <w:color w:val="7030a0"/>
        </w:rPr>
        <w:t xml:space="preserve">электронных</w:t>
      </w:r>
      <w:r>
        <w:rPr>
          <w:i/>
          <w:iCs/>
          <w:color w:val="7030a0"/>
        </w:rPr>
        <w:t xml:space="preserve"> соглашений об изменении контракта для организаций, участвующих в пилотном проекте ЕИС.</w:t>
      </w:r>
      <w:r>
        <w:rPr>
          <w:bCs/>
          <w:i/>
          <w:color w:val="7030a0"/>
        </w:rPr>
      </w:r>
    </w:p>
    <w:p>
      <w:pPr>
        <w:pStyle w:val="928"/>
        <w:ind w:firstLine="709"/>
        <w:keepLines w:val="0"/>
        <w:tabs>
          <w:tab w:val="left" w:pos="1134" w:leader="none"/>
        </w:tabs>
        <w:rPr>
          <w:bCs/>
          <w:i/>
          <w:color w:val="7030a0"/>
        </w:rPr>
      </w:pPr>
      <w:r>
        <w:rPr>
          <w:i/>
          <w:iCs/>
          <w:color w:val="7030a0"/>
        </w:rPr>
        <w:t xml:space="preserve">С 1 апреля 2025 года возможно размещение в ЕИС </w:t>
      </w:r>
      <w:r>
        <w:rPr>
          <w:i/>
          <w:iCs/>
          <w:color w:val="7030a0"/>
        </w:rPr>
        <w:t xml:space="preserve">электронных</w:t>
      </w:r>
      <w:r>
        <w:rPr>
          <w:i/>
          <w:iCs/>
          <w:color w:val="7030a0"/>
        </w:rPr>
        <w:t xml:space="preserve"> соглашений об изменении</w:t>
      </w:r>
      <w:r>
        <w:rPr>
          <w:i/>
          <w:iCs/>
          <w:color w:val="7030a0"/>
        </w:rPr>
        <w:t xml:space="preserve"> контракта</w:t>
      </w:r>
      <w:r>
        <w:rPr>
          <w:i/>
          <w:iCs/>
          <w:color w:val="7030a0"/>
        </w:rPr>
        <w:t xml:space="preserve"> или</w:t>
      </w:r>
      <w:r>
        <w:rPr>
          <w:i/>
          <w:iCs/>
          <w:color w:val="7030a0"/>
        </w:rPr>
        <w:t xml:space="preserve"> электронных расторжений контрактов</w:t>
      </w:r>
      <w:r>
        <w:rPr>
          <w:i/>
          <w:iCs/>
          <w:color w:val="7030a0"/>
        </w:rPr>
        <w:t xml:space="preserve"> для всех организаций.</w:t>
      </w:r>
      <w:r>
        <w:rPr>
          <w:bCs/>
          <w:i/>
          <w:color w:val="7030a0"/>
        </w:rPr>
      </w:r>
    </w:p>
    <w:p>
      <w:pPr>
        <w:pStyle w:val="928"/>
        <w:numPr>
          <w:ilvl w:val="0"/>
          <w:numId w:val="20"/>
        </w:numPr>
        <w:ind w:left="0" w:firstLine="709"/>
        <w:keepLines w:val="0"/>
        <w:tabs>
          <w:tab w:val="left" w:pos="1134" w:leader="none"/>
        </w:tabs>
      </w:pPr>
      <w:r>
        <w:t xml:space="preserve">При необходимости </w:t>
      </w:r>
      <w:r>
        <w:rPr>
          <w:b/>
        </w:rPr>
        <w:t xml:space="preserve">заключения электронного дополнительного соглашения</w:t>
      </w:r>
      <w:r>
        <w:rPr>
          <w:b/>
        </w:rPr>
        <w:t xml:space="preserve"> об изменении контракта</w:t>
      </w:r>
      <w:r>
        <w:t xml:space="preserve"> </w:t>
      </w:r>
      <w:r>
        <w:rPr>
          <w:b/>
        </w:rPr>
        <w:t xml:space="preserve">с единственным поставщиком (подрядчиком, исполнителем)</w:t>
      </w:r>
      <w:r>
        <w:t xml:space="preserve">, </w:t>
      </w:r>
      <w:r>
        <w:t xml:space="preserve">заказчик формирует</w:t>
      </w:r>
      <w:r>
        <w:t xml:space="preserve"> посредством ГИСЗ НСО</w:t>
      </w:r>
      <w:r>
        <w:t xml:space="preserve"> изменение проекта контракта с помощью операции «Формирование изменения докум</w:t>
      </w:r>
      <w:r>
        <w:t xml:space="preserve">ента» для последующей возможности направления проекта дополнительного соглашения на подписание поставщику (подрядчику, исполнителю) в личный кабинет участника закупки ЕИС.</w:t>
      </w:r>
      <w:r/>
    </w:p>
    <w:p>
      <w:pPr>
        <w:pStyle w:val="928"/>
        <w:ind w:firstLine="709"/>
        <w:keepLines w:val="0"/>
        <w:tabs>
          <w:tab w:val="left" w:pos="1134" w:leader="none"/>
        </w:tabs>
        <w:rPr>
          <w:b/>
        </w:rPr>
      </w:pPr>
      <w:r>
        <w:t xml:space="preserve">Если по контракту </w:t>
      </w:r>
      <w:r>
        <w:t xml:space="preserve">необходимо </w:t>
      </w:r>
      <w:r>
        <w:rPr>
          <w:b/>
        </w:rPr>
        <w:t xml:space="preserve">заключить электронное</w:t>
      </w:r>
      <w:r>
        <w:rPr>
          <w:b/>
        </w:rPr>
        <w:t xml:space="preserve"> соглашение о расторжении контракта</w:t>
      </w:r>
      <w:r>
        <w:t xml:space="preserve"> </w:t>
      </w:r>
      <w:r>
        <w:rPr>
          <w:b/>
        </w:rPr>
        <w:t xml:space="preserve">с единственным поставщиком (подрядчиком, исполнителем)</w:t>
      </w:r>
      <w:r>
        <w:t xml:space="preserve">, </w:t>
      </w:r>
      <w:r>
        <w:t xml:space="preserve">то заказчик формирует проект расторжения к подписанному</w:t>
      </w:r>
      <w:r>
        <w:t xml:space="preserve"> проект</w:t>
      </w:r>
      <w:r>
        <w:t xml:space="preserve">у</w:t>
      </w:r>
      <w:r>
        <w:t xml:space="preserve"> контракта с помощью операции «Форм</w:t>
      </w:r>
      <w:r>
        <w:t xml:space="preserve">ирование расторжения контракта» </w:t>
      </w:r>
      <w:r>
        <w:t xml:space="preserve">для последующей возможности направления проекта соглашения</w:t>
      </w:r>
      <w:r>
        <w:t xml:space="preserve"> о расторжении контракта</w:t>
      </w:r>
      <w:r>
        <w:t xml:space="preserve"> на подписание поставщику (подрядчику, исполнителю) в личный кабинет участника закупки ЕИС.</w:t>
      </w:r>
      <w:r>
        <w:rPr>
          <w:b/>
        </w:rPr>
      </w:r>
    </w:p>
    <w:p>
      <w:r>
        <w:t xml:space="preserve">2.1) </w:t>
      </w:r>
      <w:r>
        <w:t xml:space="preserve">После перевода состояния</w:t>
      </w:r>
      <w:r>
        <w:t xml:space="preserve"> проекта контракта</w:t>
      </w:r>
      <w:r>
        <w:t xml:space="preserve"> в ГИСЗ НСО «На размещении»</w:t>
      </w:r>
      <w:r>
        <w:t xml:space="preserve"> следует повторить выполнение действия по направлению структурированного проекта </w:t>
      </w:r>
      <w:r>
        <w:t xml:space="preserve">контракта </w:t>
      </w:r>
      <w:r>
        <w:t xml:space="preserve">в ЕИС</w:t>
      </w:r>
      <w:r>
        <w:t xml:space="preserve"> на подписание поставщиком (подрядчиком, исполнителем) проекта электронного дополнительного соглашения </w:t>
      </w:r>
      <w:r>
        <w:t xml:space="preserve">(расторжения)</w:t>
      </w:r>
      <w:r>
        <w:t xml:space="preserve"> контракта в личный кабинет участника закупки ЕИС</w:t>
      </w:r>
      <w:r>
        <w:t xml:space="preserve">. </w:t>
      </w:r>
      <w:r/>
    </w:p>
    <w:p>
      <w:pPr>
        <w:pStyle w:val="964"/>
        <w:numPr>
          <w:ilvl w:val="1"/>
          <w:numId w:val="21"/>
        </w:numPr>
        <w:ind w:left="0" w:firstLine="709"/>
      </w:pPr>
      <w:r>
        <w:t xml:space="preserve">После подписания </w:t>
      </w:r>
      <w:r>
        <w:t xml:space="preserve">электронного </w:t>
      </w:r>
      <w:r>
        <w:t xml:space="preserve">соглашения об изменении контракта </w:t>
      </w:r>
      <w:r>
        <w:t xml:space="preserve">(расторжении) </w:t>
      </w:r>
      <w:r>
        <w:t xml:space="preserve">контракта</w:t>
      </w:r>
      <w:r>
        <w:t xml:space="preserve"> </w:t>
      </w:r>
      <w:r>
        <w:t xml:space="preserve">поставщиком (подрядчиком, исполнителем) </w:t>
      </w:r>
      <w:r>
        <w:t xml:space="preserve">и заказчиком </w:t>
      </w:r>
      <w:r>
        <w:t xml:space="preserve">в ГИСЗ НСО состояние документа будет «Опубликован», статус документа </w:t>
      </w:r>
      <w:r>
        <w:t xml:space="preserve">изменится на</w:t>
      </w:r>
      <w:r>
        <w:t xml:space="preserve"> «Подписан».</w:t>
      </w:r>
      <w:r/>
    </w:p>
    <w:p>
      <w:pPr>
        <w:pStyle w:val="928"/>
        <w:numPr>
          <w:ilvl w:val="1"/>
          <w:numId w:val="21"/>
        </w:numPr>
        <w:ind w:left="0" w:firstLine="709"/>
        <w:keepLines w:val="0"/>
        <w:tabs>
          <w:tab w:val="left" w:pos="1134" w:leader="none"/>
        </w:tabs>
      </w:pPr>
      <w:r>
        <w:t xml:space="preserve">В случае, если поставщик (подрядчик, исполнитель) направил протокол раз</w:t>
      </w:r>
      <w:r>
        <w:t xml:space="preserve">ногласий, то заказчику необходимо посредством ГИСЗ НСО сформировать новую редакцию к проекту контракта, при необходимости скорректировать и повторно направить в ЕИС на подписание поставщику (подрядчику, исполнителю) в личный кабинет участника закупки ЕИС. </w:t>
      </w:r>
      <w:r/>
    </w:p>
    <w:p>
      <w:pPr>
        <w:pStyle w:val="928"/>
        <w:numPr>
          <w:ilvl w:val="1"/>
          <w:numId w:val="21"/>
        </w:numPr>
        <w:ind w:left="0" w:firstLine="709"/>
        <w:keepLines w:val="0"/>
        <w:tabs>
          <w:tab w:val="left" w:pos="1134" w:leader="none"/>
        </w:tabs>
      </w:pPr>
      <w:r>
        <w:t xml:space="preserve">После публикации подписанного</w:t>
      </w:r>
      <w:r>
        <w:t xml:space="preserve"> электронного</w:t>
      </w:r>
      <w:r>
        <w:t xml:space="preserve"> </w:t>
      </w:r>
      <w:r>
        <w:t xml:space="preserve">дополнительного </w:t>
      </w:r>
      <w:r>
        <w:t xml:space="preserve">соглашения об изменении контракта </w:t>
      </w:r>
      <w:r>
        <w:t xml:space="preserve">или электронного расторжения контракта </w:t>
      </w:r>
      <w:r>
        <w:t xml:space="preserve">заказчику необходимо сформировать изменение</w:t>
      </w:r>
      <w:r>
        <w:t xml:space="preserve"> к</w:t>
      </w:r>
      <w:r>
        <w:t xml:space="preserve"> сведени</w:t>
      </w:r>
      <w:r>
        <w:t xml:space="preserve">ю</w:t>
      </w:r>
      <w:r>
        <w:t xml:space="preserve"> о контракте</w:t>
      </w:r>
      <w:r>
        <w:t xml:space="preserve"> или расторжение контракта</w:t>
      </w:r>
      <w:r>
        <w:t xml:space="preserve"> в ГИСЗ НСО на основании проекта контракта с помощью операции «Формирование изменения сведений о контракте или сведений о расторжении контракта».</w:t>
      </w:r>
      <w:bookmarkStart w:id="2" w:name="_GoBack"/>
      <w:r/>
      <w:bookmarkEnd w:id="2"/>
      <w:r/>
      <w:r/>
    </w:p>
    <w:p>
      <w:pPr>
        <w:pStyle w:val="760"/>
        <w:ind w:hanging="9"/>
        <w:tabs>
          <w:tab w:val="left" w:pos="1418" w:leader="none"/>
        </w:tabs>
      </w:pPr>
      <w:r/>
      <w:bookmarkStart w:id="3" w:name="_Toc3"/>
      <w:r>
        <w:rPr>
          <w:szCs w:val="28"/>
        </w:rPr>
        <w:t xml:space="preserve">Формирование проекта контракта с единственным поставщиком</w:t>
      </w:r>
      <w:bookmarkEnd w:id="3"/>
      <w:r/>
      <w:r/>
    </w:p>
    <w:p>
      <w:r>
        <w:t xml:space="preserve">Проект контракта формируется из позиции плана-графика в состоянии «Опубликована и загружена в систему исполнения бюджета» с помощью операции «Формирование проекта контракта» (см. </w:t>
      </w:r>
      <w:r>
        <w:fldChar w:fldCharType="begin"/>
      </w:r>
      <w:r>
        <w:instrText xml:space="preserve"> REF _Ref511036681  \h</w:instrText>
      </w:r>
      <w:r>
        <w:fldChar w:fldCharType="separate"/>
      </w:r>
      <w:r>
        <w:rPr>
          <w:b/>
          <w:bCs/>
        </w:rPr>
        <w:t xml:space="preserve">Рисунок 1</w:t>
      </w:r>
      <w:r>
        <w:fldChar w:fldCharType="end"/>
      </w:r>
      <w:r>
        <w:t xml:space="preserve">) .</w:t>
      </w:r>
      <w:r/>
    </w:p>
    <w:p>
      <w:r>
        <w:t xml:space="preserve">Документ создается в состоянии «Редактируется», статус документа «Создан».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012534"/>
                <wp:effectExtent l="0" t="0" r="0" b="0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0788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480174" cy="20125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10.25pt;height:158.47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4" w:name="_Ref51103668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</w:t>
      </w:r>
      <w:r>
        <w:rPr>
          <w:b w:val="0"/>
          <w:bCs w:val="0"/>
          <w:sz w:val="28"/>
          <w:szCs w:val="28"/>
        </w:rPr>
        <w:fldChar w:fldCharType="end"/>
      </w:r>
      <w:bookmarkEnd w:id="4"/>
      <w:r>
        <w:rPr>
          <w:b w:val="0"/>
          <w:bCs w:val="0"/>
          <w:sz w:val="28"/>
          <w:szCs w:val="28"/>
        </w:rPr>
        <w:t xml:space="preserve"> – Выполнение операции «Формирование проекта контракта»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5604" cy="3815895"/>
                <wp:effectExtent l="0" t="0" r="0" b="0"/>
                <wp:docPr id="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43982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485604" cy="3815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31.94pt;height:300.4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</w:t>
      </w:r>
      <w:r>
        <w:rPr>
          <w:b w:val="0"/>
          <w:bCs w:val="0"/>
          <w:sz w:val="28"/>
          <w:szCs w:val="28"/>
        </w:rPr>
        <w:fldChar w:fldCharType="end"/>
      </w:r>
      <w:r>
        <w:rPr>
          <w:b w:val="0"/>
          <w:bCs w:val="0"/>
          <w:sz w:val="28"/>
          <w:szCs w:val="28"/>
        </w:rPr>
        <w:t xml:space="preserve"> – Формирование проекта контракта</w:t>
      </w:r>
      <w:r>
        <w:rPr>
          <w:b w:val="0"/>
          <w:bCs w:val="0"/>
          <w:sz w:val="28"/>
          <w:szCs w:val="28"/>
        </w:rPr>
      </w:r>
    </w:p>
    <w:p>
      <w:pPr>
        <w:pStyle w:val="760"/>
        <w:ind w:hanging="9"/>
        <w:tabs>
          <w:tab w:val="left" w:pos="1418" w:leader="none"/>
        </w:tabs>
      </w:pPr>
      <w:r/>
      <w:bookmarkStart w:id="5" w:name="_Ref511036715"/>
      <w:r/>
      <w:bookmarkStart w:id="6" w:name="_Toc4"/>
      <w:r>
        <w:rPr>
          <w:szCs w:val="28"/>
        </w:rPr>
        <w:t xml:space="preserve">Заполнение общей информации о проекте контракта</w:t>
      </w:r>
      <w:bookmarkEnd w:id="5"/>
      <w:r/>
      <w:bookmarkEnd w:id="6"/>
      <w:r/>
      <w:r/>
    </w:p>
    <w:p>
      <w:r>
        <w:t xml:space="preserve">Перейдите в раздел «Общая информация» и заполните поля данного раздела (см. </w:t>
      </w:r>
      <w:r>
        <w:fldChar w:fldCharType="begin"/>
      </w:r>
      <w:r>
        <w:instrText xml:space="preserve"> REF _Ref511036682  \h</w:instrText>
      </w:r>
      <w:r>
        <w:fldChar w:fldCharType="separate"/>
      </w:r>
      <w:r>
        <w:rPr>
          <w:b/>
          <w:bCs/>
        </w:rPr>
        <w:t xml:space="preserve">Рисунок 3</w:t>
      </w:r>
      <w:r>
        <w:fldChar w:fldCharType="end"/>
      </w:r>
      <w:r>
        <w:t xml:space="preserve">). Поля, обязательные для заполнения, отмечены знаком «*».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6838" cy="3385746"/>
                <wp:effectExtent l="0" t="0" r="0" b="0"/>
                <wp:docPr id="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57304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16838" cy="3385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3.77pt;height:266.59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/>
      <w:bookmarkStart w:id="7" w:name="_Ref51103668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</w:t>
      </w:r>
      <w:r>
        <w:rPr>
          <w:b w:val="0"/>
          <w:bCs w:val="0"/>
          <w:sz w:val="28"/>
          <w:szCs w:val="28"/>
        </w:rPr>
        <w:fldChar w:fldCharType="end"/>
      </w:r>
      <w:bookmarkEnd w:id="7"/>
      <w:r>
        <w:rPr>
          <w:b w:val="0"/>
          <w:bCs w:val="0"/>
          <w:sz w:val="28"/>
          <w:szCs w:val="28"/>
        </w:rPr>
        <w:t xml:space="preserve"> – Заполнение раздела «Общая информация о проекте контракта»</w:t>
      </w:r>
      <w:r>
        <w:rPr>
          <w:b w:val="0"/>
          <w:bCs w:val="0"/>
          <w:sz w:val="28"/>
          <w:szCs w:val="28"/>
        </w:rPr>
      </w:r>
    </w:p>
    <w:p>
      <w:r>
        <w:t xml:space="preserve">Для полей «Состояние документа», «Версия документа», «Номер редакции в рамках версии документа, направленной на контроль» предусмотрено </w:t>
      </w:r>
      <w:r>
        <w:t xml:space="preserve">автозаполнение</w:t>
      </w:r>
      <w:r>
        <w:t xml:space="preserve">.</w:t>
      </w:r>
      <w:r/>
    </w:p>
    <w:p>
      <w:r>
        <w:t xml:space="preserve">Поля «Идентификационный код закупки», «Валюта», «Предмет контракта» переносятся из связанной закупки в результате выполнения операции «Формирование проекта контракта».</w:t>
      </w:r>
      <w:r/>
    </w:p>
    <w:p>
      <w:r>
        <w:t xml:space="preserve">Поле «Дата заключения контракта», «Номер проекта контракта» заполняются автоматически в результате выполнения загрузки данных с ЕИС.</w:t>
      </w:r>
      <w:r/>
    </w:p>
    <w:p>
      <w:r>
        <w:t xml:space="preserve">Поле «Статус документа» в результате выполнения операции «Формирование проекта контракта» заполняется по умолчанию значением «Создан». </w:t>
      </w:r>
      <w:r/>
    </w:p>
    <w:p>
      <w:r>
        <w:t xml:space="preserve">Поле «Дата заключения контракта» заполняется автоматически после подписания проекта контракта в результате в результате выполнения загрузки данных с ЕИС.</w:t>
      </w:r>
      <w:r/>
    </w:p>
    <w:p>
      <w:r>
        <w:t xml:space="preserve">Поле «Цена контракта» заполняется автоматически на основании заявки участника, который является победителем процедуры определения поставщика.</w:t>
      </w:r>
      <w:r/>
    </w:p>
    <w:p>
      <w:r>
        <w:t xml:space="preserve">Поле «Номер контракта» заполните вручную с клавиатуры. </w:t>
      </w:r>
      <w:r/>
    </w:p>
    <w:p>
      <w:r>
        <w:t xml:space="preserve">В поле «Обоснование изменения цены контракта» при необходимости выберите значение из справочника «Обоснования внесения изменений».</w:t>
      </w:r>
      <w:r/>
    </w:p>
    <w:p>
      <w:r>
        <w:t xml:space="preserve">Поле «Роль организации, размещающей проект контракта» по умолчанию заполняется значением «Заказчик». При необходимости выберите нужное значение из выпадающего списка.</w:t>
      </w:r>
      <w:r/>
    </w:p>
    <w:p>
      <w:r>
        <w:t xml:space="preserve">Поле «Предметом контракта является приобретение жилых помещений» по умолчанию заполняется значением «Нет». При необходимости выберите нужное значение из выпадающего списка.</w:t>
      </w:r>
      <w:r/>
    </w:p>
    <w:p>
      <w:r>
        <w:t xml:space="preserve">Поле «Приобретение квартир по ДДУ» открывается при наличии значения «Да» в поле «Предметом контракта является приобретение жилых помещений». При необходимости выберите нужное значение из выпадающего списка.</w:t>
      </w:r>
      <w:r/>
    </w:p>
    <w:p>
      <w:r>
        <w:t xml:space="preserve">В поле «Группа работ по строительству» при необходимости выберите значение из справочника «Статьи нормативно-правового акта».</w:t>
      </w:r>
      <w:r/>
    </w:p>
    <w:p>
      <w:r>
        <w:t xml:space="preserve">Поля: «Контрактом предусмотрено удержание суммы неисполненных требований об уплате неустоек (штрафов, пеней) из суммы, подлежащей оплате поставщику (под</w:t>
      </w:r>
      <w:r>
        <w:t xml:space="preserve">рядчику, исполнителю)», «Суммы, уплачиваемые заказчиком поставщику (подрядчику, исполнителю), будут уменьшены на размер налогов, сборов и иных обязательных платежей», «Способ указания цены контракта» заполняются путем выбора значения из выпадающего списка.</w:t>
      </w:r>
      <w:r/>
    </w:p>
    <w:p>
      <w:r>
        <w:t xml:space="preserve">Поле «Контракт заключен в структурированном виде» по умолчанию заполняется значением «Нет». При необходимости выберите нужное значение из выпадающего списка.</w:t>
      </w:r>
      <w:r/>
    </w:p>
    <w:p>
      <w:r>
        <w:t xml:space="preserve">Поле "Предельный срок направления проекта контракта поставщику (подрядчику, исполнителю)" заполняется автоматически значением "Дата публикации в ЕИС" выбранного протокола + 2 рабочих дня.</w:t>
      </w:r>
      <w:r/>
    </w:p>
    <w:p>
      <w:r>
        <w:t xml:space="preserve">Поле «Предельный срок направления подписанного проекта контракта заказчику» заполните вручную или выберите значение из календаря.</w:t>
      </w:r>
      <w:r/>
    </w:p>
    <w:p>
      <w:r>
        <w:t xml:space="preserve">После того как все необходимые поля раздела будут заполнены, нажмите на кнопку «Сохранить» для сохранения внесенных изменений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_Ref511036683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4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06719"/>
                <wp:effectExtent l="0" t="0" r="0" b="0"/>
                <wp:docPr id="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6837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480174" cy="1206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10.25pt;height:95.0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8" w:name="_Ref51103668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</w:t>
      </w:r>
      <w:r>
        <w:rPr>
          <w:b w:val="0"/>
          <w:bCs w:val="0"/>
          <w:sz w:val="28"/>
          <w:szCs w:val="28"/>
        </w:rPr>
        <w:fldChar w:fldCharType="end"/>
      </w:r>
      <w:bookmarkEnd w:id="8"/>
      <w:r>
        <w:rPr>
          <w:b w:val="0"/>
          <w:bCs w:val="0"/>
          <w:sz w:val="28"/>
          <w:szCs w:val="28"/>
        </w:rPr>
        <w:t xml:space="preserve"> – Сохранение изменений в разделе «Общая информация о проекте контракта»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9" w:name="_Toc5"/>
      <w:r>
        <w:rPr>
          <w:szCs w:val="28"/>
        </w:rPr>
        <w:t xml:space="preserve">Заполнение раздела «Основание заключения контракта»</w:t>
      </w:r>
      <w:bookmarkEnd w:id="9"/>
      <w:r/>
      <w:r/>
    </w:p>
    <w:p>
      <w:r>
        <w:t xml:space="preserve">Перейдите в раздел «Основание заключения контракта» (см. </w:t>
      </w:r>
      <w:r>
        <w:fldChar w:fldCharType="begin"/>
      </w:r>
      <w:r>
        <w:instrText xml:space="preserve"> REF _Ref511036684  \h</w:instrText>
      </w:r>
      <w:r>
        <w:fldChar w:fldCharType="separate"/>
      </w:r>
      <w:r>
        <w:rPr>
          <w:b/>
          <w:bCs/>
        </w:rPr>
        <w:t xml:space="preserve">Рисунок 5</w:t>
      </w:r>
      <w: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945544"/>
                <wp:effectExtent l="0" t="0" r="0" b="0"/>
                <wp:docPr id="7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43674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480174" cy="945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10.25pt;height:74.4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/>
      <w:bookmarkStart w:id="10" w:name="_Ref51103668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</w:t>
      </w:r>
      <w:r>
        <w:rPr>
          <w:b w:val="0"/>
          <w:bCs w:val="0"/>
          <w:sz w:val="28"/>
          <w:szCs w:val="28"/>
        </w:rPr>
        <w:fldChar w:fldCharType="end"/>
      </w:r>
      <w:bookmarkEnd w:id="10"/>
      <w:r>
        <w:rPr>
          <w:b w:val="0"/>
          <w:bCs w:val="0"/>
          <w:sz w:val="28"/>
          <w:szCs w:val="28"/>
        </w:rPr>
        <w:t xml:space="preserve"> – Раздел «Основание заключения контракта»</w:t>
      </w:r>
      <w:r>
        <w:rPr>
          <w:b w:val="0"/>
          <w:bCs w:val="0"/>
          <w:sz w:val="28"/>
          <w:szCs w:val="28"/>
        </w:rPr>
      </w:r>
    </w:p>
    <w:p>
      <w:r>
        <w:t xml:space="preserve">Поля «Номер извещения», «Способ определения поставщика (подрядчика, исполнителя)» заполняются автоматически значениями при формировании контракта с единственным поставщиком.</w:t>
      </w:r>
      <w:r/>
    </w:p>
    <w:p>
      <w:r>
        <w:t xml:space="preserve">Поле «Часть, статья нормативно-правового акта» заполняется значением, которое было указано при формировании проекта контракта. При необходимости выберите нужное значение из справочника.</w:t>
      </w:r>
      <w:r/>
    </w:p>
    <w:p>
      <w:r>
        <w:t xml:space="preserve">Поле «Нормативно-правовой акт» заполняется автоматически значением «Полное наименование» справочника «Нормативно-правовые акты» на основании значения, выбранного в поле «Часть, статья нормативно-правового акта».</w:t>
      </w:r>
      <w:r/>
    </w:p>
    <w:p>
      <w:r>
        <w:t xml:space="preserve">Поле «Дата документа-основания заключения контракта» заполните вручную или выберите значение из календаря.</w:t>
      </w:r>
      <w:r/>
    </w:p>
    <w:p>
      <w:r>
        <w:t xml:space="preserve">Поле «Номер документа-основания заключения контракта» заполните вручную с клавиатуры.</w:t>
      </w:r>
      <w:r/>
    </w:p>
    <w:p>
      <w:r>
        <w:t xml:space="preserve">Поле «Вид документа-основания заключения контракта» заполняется вручную значением из справочника.</w:t>
      </w:r>
      <w:r/>
    </w:p>
    <w:p>
      <w:r>
        <w:t xml:space="preserve">После заполнения необходимой информации нажмите кнопку «Сохранить» (см. </w:t>
      </w:r>
      <w:r>
        <w:fldChar w:fldCharType="begin"/>
      </w:r>
      <w:r>
        <w:instrText xml:space="preserve"> REF _Ref511036683  \h</w:instrText>
      </w:r>
      <w:r>
        <w:fldChar w:fldCharType="separate"/>
      </w:r>
      <w:r>
        <w:rPr>
          <w:b/>
          <w:bCs/>
        </w:rPr>
        <w:t xml:space="preserve">Рисунок 4</w:t>
      </w:r>
      <w:r>
        <w:fldChar w:fldCharType="end"/>
      </w:r>
      <w:r>
        <w:t xml:space="preserve">).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11" w:name="_Toc6"/>
      <w:r>
        <w:rPr>
          <w:szCs w:val="28"/>
        </w:rPr>
        <w:t xml:space="preserve">Заполнение раздела «Информация об обеспечении исполнения контракта»</w:t>
      </w:r>
      <w:bookmarkEnd w:id="11"/>
      <w:r/>
      <w:r/>
    </w:p>
    <w:p>
      <w:r>
        <w:t xml:space="preserve">Раздел заполняется вручную после формирования проекта контракта (см. </w:t>
      </w:r>
      <w:r>
        <w:fldChar w:fldCharType="begin"/>
      </w:r>
      <w:r>
        <w:instrText xml:space="preserve"> REF _Ref511036685  \h</w:instrText>
      </w:r>
      <w:r>
        <w:fldChar w:fldCharType="separate"/>
      </w:r>
      <w:r>
        <w:rPr>
          <w:b/>
          <w:bCs/>
        </w:rPr>
        <w:t xml:space="preserve">Рисунок 6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72210" cy="3389486"/>
                <wp:effectExtent l="0" t="0" r="0" b="0"/>
                <wp:docPr id="8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78129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72210" cy="33894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8.13pt;height:266.89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12" w:name="_Ref51103668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</w:t>
      </w:r>
      <w:r>
        <w:rPr>
          <w:b w:val="0"/>
          <w:bCs w:val="0"/>
          <w:sz w:val="28"/>
          <w:szCs w:val="28"/>
        </w:rPr>
        <w:fldChar w:fldCharType="end"/>
      </w:r>
      <w:bookmarkEnd w:id="12"/>
      <w:r>
        <w:rPr>
          <w:b w:val="0"/>
          <w:bCs w:val="0"/>
          <w:sz w:val="28"/>
          <w:szCs w:val="28"/>
        </w:rPr>
        <w:t xml:space="preserve"> – Раздел «Обеспечение исполнения контракта»</w:t>
      </w:r>
      <w:r/>
    </w:p>
    <w:p>
      <w:r>
        <w:t xml:space="preserve">Поле «Размер обеспечения, %» заполняется при необходимости вручную с клавиатуры.</w:t>
      </w:r>
      <w:r/>
    </w:p>
    <w:p>
      <w:r>
        <w:t xml:space="preserve">Поле «Размер обеспечения исполнения контракта, руб.» закрыто для редактирования, рассчитывается и заполняется автоматически на основании значений полей «Размер обеспечения, %» и «Цена контракта» проекта контракта.</w:t>
      </w:r>
      <w:r/>
    </w:p>
    <w:p>
      <w:r>
        <w:t xml:space="preserve">Поля «Сопровождение контракта», «Тип казначейского сопровождения контракта» заполняются путем выбора значения из выпадающего списка.</w:t>
      </w:r>
      <w:r/>
    </w:p>
    <w:p>
      <w:r>
        <w:t xml:space="preserve">Поля «Обеспечение исполнения обязательств по поставке товара или выполнению работы, %», «Обеспечение исполнения обязательств по последующему обслуживанию, эксплуатации (при наличии) в течение срока службы, ремо</w:t>
      </w:r>
      <w:r>
        <w:t xml:space="preserve">нту и (или) утилизации поставленного товара или созданного в результате выполнения работы объекта капитального строительства или товара, %», «Обеспечение исполнения обязательств по поставке товара или выполнению работы, руб.», «Обеспечение исполнения обяза</w:t>
      </w:r>
      <w:r>
        <w:t xml:space="preserve">тельств по последующему обслуживанию, эксплуатации (при наличии) в течение срока службы, ремонту и (или) утилизации поставленного товара или созданного в результате выполнения работы объекта капитального строительства или товара, руб.» заполняются вручную.</w:t>
      </w:r>
      <w:r/>
    </w:p>
    <w:p>
      <w:r>
        <w:t xml:space="preserve">Поле «В том числе сумма казначейского о</w:t>
      </w:r>
      <w:r>
        <w:t xml:space="preserve">беспечения обязательств» заполняется путем ввода значения с клавиатуры, только в том случае, если поле «Сопровождение контракта» заполнено одним из значений «Казначейское сопровождение» или «Казначейское обеспечение при банковском сопровождении контракта».</w:t>
      </w:r>
      <w:r/>
    </w:p>
    <w:p>
      <w:r>
        <w:t xml:space="preserve">Поле «Лицевой счет для средств, поступающих во временное распоряжение в качестве обеспечения исполнения контракта» заполняется путем выбора значения из справочника. Поле очищается при </w:t>
      </w:r>
      <w:r>
        <w:t xml:space="preserve">перевыборе</w:t>
      </w:r>
      <w:r>
        <w:t xml:space="preserve"> значения в поле «Расчетный счет для средств, поступающих во временное распоряжение в качестве обеспечения исполнения контракта».</w:t>
      </w:r>
      <w:r/>
    </w:p>
    <w:p>
      <w:r>
        <w:t xml:space="preserve">Поле «Расчетный счет для средств, пост</w:t>
      </w:r>
      <w:r>
        <w:t xml:space="preserve">упающих во временное распоряжение в качестве обеспечения исполнения контракта» заполняется автоматически на основании значения, выбранного в поле «Лицевой счет для средств, поступающих во временное распоряжение в качестве обеспечения исполнения контракта».</w:t>
      </w:r>
      <w:r/>
    </w:p>
    <w:p>
      <w:r>
        <w:t xml:space="preserve">Поле «Платежные реквизиты для обеспечения исполнения контракта» недоступно для редактирования. Поле заполняется автоматически на основа</w:t>
      </w:r>
      <w:r>
        <w:t xml:space="preserve">нии значений, указанных в полях «Лицевой счет для средств, поступающих во временное распоряжение в качестве обеспечения исполнения контракта» и «Расчетный счет для средств, поступающих во временное распоряжение в качестве обеспечения исполнения контракта».</w:t>
      </w:r>
      <w:r/>
    </w:p>
    <w:p>
      <w:r>
        <w:t xml:space="preserve">Поле «Поступление для АУ, БУ» заполняется при необходимости выбором значения из справочника.</w:t>
      </w:r>
      <w:r/>
    </w:p>
    <w:p>
      <w:r>
        <w:t xml:space="preserve">Заполните все необходимые поля и сохраните внесенные изменения.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13" w:name="_Toc7"/>
      <w:r>
        <w:rPr>
          <w:szCs w:val="28"/>
        </w:rPr>
        <w:t xml:space="preserve">Условия контракта</w:t>
      </w:r>
      <w:bookmarkEnd w:id="13"/>
      <w:r/>
      <w:r/>
    </w:p>
    <w:p>
      <w:r>
        <w:t xml:space="preserve">Раздел заполняется вручную после формирования проекта контракта (см. </w:t>
      </w:r>
      <w:r>
        <w:fldChar w:fldCharType="begin"/>
      </w:r>
      <w:r>
        <w:instrText xml:space="preserve"> REF _Ref511036686  \h</w:instrText>
      </w:r>
      <w:r>
        <w:fldChar w:fldCharType="separate"/>
      </w:r>
      <w:r>
        <w:rPr>
          <w:b/>
          <w:bCs/>
        </w:rPr>
        <w:t xml:space="preserve">Рисунок 7</w:t>
      </w:r>
      <w: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871813"/>
                <wp:effectExtent l="0" t="0" r="0" b="0"/>
                <wp:docPr id="9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97662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480174" cy="1871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10.25pt;height:147.39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/>
      <w:bookmarkStart w:id="14" w:name="_Ref51103668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7</w:t>
      </w:r>
      <w:r>
        <w:rPr>
          <w:b w:val="0"/>
          <w:bCs w:val="0"/>
          <w:sz w:val="28"/>
          <w:szCs w:val="28"/>
        </w:rPr>
        <w:fldChar w:fldCharType="end"/>
      </w:r>
      <w:bookmarkEnd w:id="14"/>
      <w:r>
        <w:rPr>
          <w:b w:val="0"/>
          <w:bCs w:val="0"/>
          <w:sz w:val="28"/>
          <w:szCs w:val="28"/>
        </w:rPr>
        <w:t xml:space="preserve"> – Раздел «Условия контракта»</w:t>
      </w:r>
      <w:r>
        <w:rPr>
          <w:b w:val="0"/>
          <w:bCs w:val="0"/>
          <w:sz w:val="28"/>
          <w:szCs w:val="28"/>
        </w:rPr>
      </w:r>
    </w:p>
    <w:p>
      <w:r>
        <w:t xml:space="preserve">Поля «Сроки предоставления гарантий качества товара, работ, услуг», «Объем предоставления гарантий качества товара, работ, услуг», «Срок исполнения контракта (отдельных этапов исполнения контракта)», «Место поставки товара, в</w:t>
      </w:r>
      <w:r>
        <w:t xml:space="preserve">ыполнения работ, оказания услуг», «Условия приемки товара, выполнения работ, оказания услуг», «Возможность одностороннего отказа от исполнения контракта», «Предусмотрено несколько этапов» (отображается только в случае если в поле «Способ определения постав</w:t>
      </w:r>
      <w:r>
        <w:t xml:space="preserve">щика (подрядчика, исполнителя)» указано значение отличное от «Единственный поставщик (подрядчик, исполнитель)» и в поле «Закупка товаров согласно ч.12 ст. 93 № 44-ФЗ» заголовка связанной закупки указано значение указано значение «Нет») заполняются вручную.</w:t>
      </w:r>
      <w:r/>
    </w:p>
    <w:p>
      <w:r>
        <w:t xml:space="preserve">В полях «Срок приемки результатов отдельного этапа исполнения контракта, а также поставленного товара, в</w:t>
      </w:r>
      <w:r>
        <w:t xml:space="preserve">ыполненной работы или оказанной услуги, предусмотренный контрактом», «Срок оплаты поставленного товара, выполненной работы (ее результатов), оказанной услуги, отдельных этапов исполнения контракта, предусмотренный контрактом» введите значение с клавиатуры.</w:t>
      </w:r>
      <w:r/>
    </w:p>
    <w:p>
      <w:r>
        <w:t xml:space="preserve">Поля «Единица измерения для срока приемки с момента пост</w:t>
      </w:r>
      <w:r>
        <w:t xml:space="preserve">упления документа о приемке от поставщика (подрядчика, исполнителя)» и «Единица измерения для срока оплаты с момента подписания заказчиком документа о приемке» заполняется автоматически значением «рабочие дни» при заполнении соответствующих полей о сроках.</w:t>
      </w:r>
      <w:r/>
    </w:p>
    <w:p>
      <w:r>
        <w:t xml:space="preserve">В поле «Гражданско-правовая ответственность поставщика (подрядчика, исполнителя) за неисполнение условий по привлечению к исполнению контракта субподрядчиков, соисполнителей из числа СМП/СОНО» заполняется вручную путем ввода с клавиатуры.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15" w:name="_Toc8"/>
      <w:r>
        <w:rPr>
          <w:szCs w:val="28"/>
        </w:rPr>
        <w:t xml:space="preserve">Информация о контрагентах</w:t>
      </w:r>
      <w:bookmarkEnd w:id="15"/>
      <w:r/>
      <w:r/>
    </w:p>
    <w:p>
      <w:r>
        <w:t xml:space="preserve">Раздел заполняется автоматически на основании данных, указанных при формировании проекта контракта с единственным поставщиком. Пользователь может скорректировать сформированную запись в случае некорректного заполнения.</w:t>
      </w:r>
      <w:r/>
    </w:p>
    <w:p>
      <w:r>
        <w:t xml:space="preserve">Для внесения изменений в информации о контрагентах перейдите в раздел «Информация о контрагентах» (см. </w:t>
      </w:r>
      <w:r>
        <w:fldChar w:fldCharType="begin"/>
      </w:r>
      <w:r>
        <w:instrText xml:space="preserve"> REF _Ref511036687  \h</w:instrText>
      </w:r>
      <w:r>
        <w:fldChar w:fldCharType="separate"/>
      </w:r>
      <w:r>
        <w:rPr>
          <w:b/>
          <w:bCs/>
        </w:rPr>
        <w:t xml:space="preserve">Рисунок 8</w:t>
      </w:r>
      <w: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1647825"/>
                <wp:effectExtent l="0" t="0" r="0" b="0"/>
                <wp:docPr id="10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57356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610224" cy="1647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41.75pt;height:129.7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16" w:name="_Ref51103668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8</w:t>
      </w:r>
      <w:r>
        <w:rPr>
          <w:b w:val="0"/>
          <w:bCs w:val="0"/>
          <w:sz w:val="28"/>
          <w:szCs w:val="28"/>
        </w:rPr>
        <w:fldChar w:fldCharType="end"/>
      </w:r>
      <w:bookmarkEnd w:id="16"/>
      <w:r>
        <w:rPr>
          <w:b w:val="0"/>
          <w:bCs w:val="0"/>
          <w:sz w:val="28"/>
          <w:szCs w:val="28"/>
        </w:rPr>
        <w:t xml:space="preserve"> – Переход в раздел «Информация о контрагентах»</w:t>
      </w:r>
      <w:r/>
    </w:p>
    <w:p>
      <w:r>
        <w:t xml:space="preserve">Далее перейдите в карточку записи, в которую необходимо внести изменения (см. </w:t>
      </w:r>
      <w:r>
        <w:fldChar w:fldCharType="begin"/>
      </w:r>
      <w:r>
        <w:instrText xml:space="preserve"> REF _Ref511036688  \h</w:instrText>
      </w:r>
      <w:r>
        <w:fldChar w:fldCharType="separate"/>
      </w:r>
      <w:r>
        <w:rPr>
          <w:b/>
          <w:bCs/>
        </w:rPr>
        <w:t xml:space="preserve">Рисунок 9</w:t>
      </w:r>
      <w:r>
        <w:fldChar w:fldCharType="end"/>
      </w:r>
      <w: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57775" cy="1752600"/>
                <wp:effectExtent l="0" t="0" r="0" b="0"/>
                <wp:docPr id="11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67844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057775" cy="1752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98.25pt;height:138.0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17" w:name="_Ref51103668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9</w:t>
      </w:r>
      <w:r>
        <w:rPr>
          <w:b w:val="0"/>
          <w:bCs w:val="0"/>
          <w:sz w:val="28"/>
          <w:szCs w:val="28"/>
        </w:rPr>
        <w:fldChar w:fldCharType="end"/>
      </w:r>
      <w:bookmarkEnd w:id="17"/>
      <w:r>
        <w:rPr>
          <w:b w:val="0"/>
          <w:bCs w:val="0"/>
          <w:sz w:val="28"/>
          <w:szCs w:val="28"/>
        </w:rPr>
        <w:t xml:space="preserve"> – Переход в карточку записи раздел «Информация о контрагентах»</w:t>
      </w:r>
      <w:r/>
    </w:p>
    <w:p>
      <w:r>
        <w:t xml:space="preserve">Внесите изменения в необходимые поля раздела. Поля, обязательные для заполнения, обозначены «*».</w:t>
      </w:r>
      <w:r/>
    </w:p>
    <w:p>
      <w:r>
        <w:t xml:space="preserve">Поля «А</w:t>
      </w:r>
      <w:r>
        <w:t xml:space="preserve">дрес местонахождения», «Почтовый адрес», «Адрес электронной почты», «Номер контактного телефона» заполняются данными поставщика, указанного при формировании проекта контракта с единственным поставщиком, при необходимости, поля доступны для редактирования. </w:t>
      </w:r>
      <w:r/>
    </w:p>
    <w:p>
      <w:r>
        <w:t xml:space="preserve">Поля «Полное наименование», «Наименование», «ИНН», «КПП», «ОГРН/ОГРНИП», «Код по ОКПО», «Код по ОКТМО», «Наименование объекта почтовой связи», «Номер ячейки абонементного почтового шкафа» доступны для </w:t>
      </w:r>
      <w:r>
        <w:t xml:space="preserve">редактирования..</w:t>
      </w:r>
      <w:r/>
    </w:p>
    <w:p>
      <w:r>
        <w:t xml:space="preserve">Поле «Роль контрагента» заполняется автоматически данными из справочника «Контрагенты».</w:t>
      </w:r>
      <w:r/>
    </w:p>
    <w:p>
      <w:r>
        <w:t xml:space="preserve">В случае, если контрагент является лицом иностранного государства, необходимо имеется возможность указать код такого налогоплательщика. Заполните поле «Является лицом иностранного государства» значением «Д</w:t>
      </w:r>
      <w:r>
        <w:t xml:space="preserve">а». Дополнительно для заполнения откроются поля: «Код налогоплательщика в стране регистрации или его аналог» заполняется вручную с клавиатуры и «Вид лица иностранного государства, не зарегистрированного в РФ» заполняется путем выбора из выпадающего списка.</w:t>
      </w:r>
      <w:r/>
    </w:p>
    <w:p>
      <w:r>
        <w:t xml:space="preserve">Поля «Код по ОКОПФ», «Страна» заполняются данными поставщика, указанного при формировании проекта контракта с единственным поставщиком, для внесения изменений выберите значение из справочника.</w:t>
      </w:r>
      <w:r/>
    </w:p>
    <w:p>
      <w:r>
        <w:t xml:space="preserve">Поле «Статус поставщика (подрядчика, исполнителя)» автоматически заполняется значением из справочника «Контрагенты».</w:t>
      </w:r>
      <w:r/>
    </w:p>
    <w:p>
      <w:r>
        <w:t xml:space="preserve">Поля «Лицевой сче</w:t>
      </w:r>
      <w:r>
        <w:t xml:space="preserve">т для казначейского сопровождения», «Адрес пользователя услугами почтовой связи в информационной системе организации федеральной почтовой связи», «КПП крупнейшего налогоплательщика», «Дата постановки на учет в налоговом органе» доступны для редактирования.</w:t>
      </w:r>
      <w:r/>
    </w:p>
    <w:p>
      <w:r>
        <w:t xml:space="preserve">Далее перейдите к заполнению раздела «Информация о расчетном счете».</w:t>
      </w:r>
      <w:r/>
    </w:p>
    <w:p>
      <w:r>
        <w:t xml:space="preserve">После заполнения всей необходимой информации нажмите на кнопку «Сохранить» для сохранения внесенных изменений. Затем нажмите на кнопку «Применить» (см. </w:t>
      </w:r>
      <w:r>
        <w:fldChar w:fldCharType="begin"/>
      </w:r>
      <w:r>
        <w:instrText xml:space="preserve"> REF _Ref511036689  \h</w:instrText>
      </w:r>
      <w:r>
        <w:fldChar w:fldCharType="separate"/>
      </w:r>
      <w:r>
        <w:rPr>
          <w:b/>
          <w:bCs/>
        </w:rPr>
        <w:t xml:space="preserve">Рисунок 10</w:t>
      </w:r>
      <w: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8825" cy="3495675"/>
                <wp:effectExtent l="0" t="0" r="0" b="0"/>
                <wp:docPr id="12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76776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838824" cy="3495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59.75pt;height:275.2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18" w:name="_Ref51103668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10</w:t>
      </w:r>
      <w:r>
        <w:rPr>
          <w:b w:val="0"/>
          <w:bCs w:val="0"/>
          <w:sz w:val="28"/>
          <w:szCs w:val="28"/>
        </w:rPr>
        <w:fldChar w:fldCharType="end"/>
      </w:r>
      <w:bookmarkEnd w:id="18"/>
      <w:r>
        <w:rPr>
          <w:b w:val="0"/>
          <w:bCs w:val="0"/>
          <w:sz w:val="28"/>
          <w:szCs w:val="28"/>
        </w:rPr>
        <w:t xml:space="preserve"> – Добавление новой записи в раздел «Информация о контрагентах»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19" w:name="_Toc9"/>
      <w:r>
        <w:rPr>
          <w:szCs w:val="28"/>
        </w:rPr>
        <w:t xml:space="preserve">Заполнение информации о расчетном счете</w:t>
      </w:r>
      <w:bookmarkEnd w:id="19"/>
      <w:r/>
      <w:r/>
    </w:p>
    <w:p>
      <w:r>
        <w:t xml:space="preserve">Данный раздел заполняется автоматически на основании данных поставщика, если в справочнике у записи поставщика данная информация заполнена. При необходимости возможно внесение изменений вручную.</w:t>
      </w:r>
      <w:r/>
    </w:p>
    <w:p>
      <w:pPr>
        <w:keepLines w:val="0"/>
      </w:pPr>
      <w:r>
        <w:t xml:space="preserve">Если раздел «Информация о ра</w:t>
      </w:r>
      <w:r>
        <w:t xml:space="preserve">счетном счете» не заполнен или в нем необходимо выбрать другое значение в поле «Вид обслуживающей организации», то в зависимости от значения, которое будет выбрано в поле «Вид обслуживающей организации» являются обязательными для заполнения следующие поля:</w:t>
      </w:r>
      <w:r/>
    </w:p>
    <w:p>
      <w:pPr>
        <w:pStyle w:val="964"/>
        <w:numPr>
          <w:ilvl w:val="0"/>
          <w:numId w:val="12"/>
        </w:numPr>
        <w:ind w:left="993"/>
        <w:keepLines w:val="0"/>
      </w:pPr>
      <w:r>
        <w:t xml:space="preserve">если вид обслуживающей организации «Банк», то обязательными для заполнения будут поля «Расчетный счет» и «Банк» (см. </w:t>
      </w:r>
      <w:r>
        <w:fldChar w:fldCharType="begin"/>
      </w:r>
      <w:r>
        <w:instrText xml:space="preserve"> REF _Ref511036690  \h</w:instrText>
      </w:r>
      <w:r>
        <w:fldChar w:fldCharType="separate"/>
      </w:r>
      <w:r>
        <w:rPr>
          <w:b/>
          <w:bCs/>
        </w:rPr>
        <w:t xml:space="preserve">Рисунок 11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48325" cy="4800600"/>
                <wp:effectExtent l="0" t="0" r="0" b="0"/>
                <wp:docPr id="13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56279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648324" cy="480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44.75pt;height:378.0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20" w:name="_Ref51103669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11</w:t>
      </w:r>
      <w:r>
        <w:rPr>
          <w:b w:val="0"/>
          <w:bCs w:val="0"/>
          <w:sz w:val="28"/>
          <w:szCs w:val="28"/>
        </w:rPr>
        <w:fldChar w:fldCharType="end"/>
      </w:r>
      <w:bookmarkEnd w:id="20"/>
      <w:r>
        <w:rPr>
          <w:b w:val="0"/>
          <w:bCs w:val="0"/>
          <w:sz w:val="28"/>
          <w:szCs w:val="28"/>
        </w:rPr>
        <w:t xml:space="preserve"> – Заполнение детализации «Информация о расчетном счете» для Банка</w:t>
      </w:r>
      <w:r/>
    </w:p>
    <w:p>
      <w:pPr>
        <w:pStyle w:val="964"/>
        <w:numPr>
          <w:ilvl w:val="0"/>
          <w:numId w:val="13"/>
        </w:numPr>
        <w:ind w:left="993"/>
        <w:keepLines w:val="0"/>
      </w:pPr>
      <w:r>
        <w:t xml:space="preserve">если вид обслуживающей организации «Финансовый орган», то обязательными для заполнения будут поля «Расчетный счет», «Банк», «ИНН финансового органа», «КПП финансового органа», «Полное наименование финансового органа», «Наименование финансового органа» (</w:t>
      </w:r>
      <w:r>
        <w:t xml:space="preserve">см. )</w:t>
      </w:r>
      <w:r>
        <w:t xml:space="preserve">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000" cy="4486275"/>
                <wp:effectExtent l="0" t="0" r="0" b="0"/>
                <wp:docPr id="14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90788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333999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20.00pt;height:353.2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959"/>
        <w:jc w:val="center"/>
      </w:pPr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12</w:t>
      </w:r>
      <w:r>
        <w:rPr>
          <w:b w:val="0"/>
          <w:bCs w:val="0"/>
          <w:sz w:val="28"/>
          <w:szCs w:val="28"/>
        </w:rPr>
        <w:fldChar w:fldCharType="end"/>
      </w:r>
      <w:r>
        <w:rPr>
          <w:b w:val="0"/>
          <w:bCs w:val="0"/>
          <w:sz w:val="28"/>
          <w:szCs w:val="28"/>
        </w:rPr>
        <w:t xml:space="preserve"> – Заполнение детализации «Информация о расчетном счете» для ФО</w:t>
      </w:r>
      <w:r/>
    </w:p>
    <w:p>
      <w:pPr>
        <w:pStyle w:val="964"/>
        <w:numPr>
          <w:ilvl w:val="0"/>
          <w:numId w:val="14"/>
        </w:numPr>
        <w:ind w:left="993"/>
        <w:keepLines w:val="0"/>
      </w:pPr>
      <w:r>
        <w:t xml:space="preserve">если вид обслуживающей организации «Орган ФК», то обязательными для заполнения будут поля «Расчетный счет», «Банк», «Счет в ФК», «ИНН органа ФК», «Полное наименование органа ФК», «Наименование органа ФК» (см. </w:t>
      </w:r>
      <w:r>
        <w:fldChar w:fldCharType="begin"/>
      </w:r>
      <w:r>
        <w:instrText xml:space="preserve"> REF _Ref511036680  \h</w:instrText>
      </w:r>
      <w:r>
        <w:fldChar w:fldCharType="separate"/>
      </w:r>
      <w:r>
        <w:t xml:space="preserve">Информация об объекте закупки</w:t>
      </w:r>
      <w:r>
        <w:fldChar w:fldCharType="end"/>
      </w:r>
      <w:r>
        <w:t xml:space="preserve">). В поле «Счет в ФК» должно быть указано значение длиной или 9, или 11 символов. Если данное условие не выполняется, то выдается сообщение: «В поле «Счет в ФК» должно быть указано значение длиной или 9, или 11 символов».</w:t>
      </w:r>
      <w:r/>
    </w:p>
    <w:p>
      <w:pPr>
        <w:ind w:firstLine="0"/>
        <w:jc w:val="center"/>
        <w:keepLine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2100" cy="4552950"/>
                <wp:effectExtent l="0" t="0" r="0" b="0"/>
                <wp:docPr id="15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88558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372100" cy="45529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23.00pt;height:358.5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959"/>
        <w:jc w:val="center"/>
      </w:pPr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13</w:t>
      </w:r>
      <w:r>
        <w:rPr>
          <w:b w:val="0"/>
          <w:bCs w:val="0"/>
          <w:sz w:val="28"/>
          <w:szCs w:val="28"/>
        </w:rPr>
        <w:fldChar w:fldCharType="end"/>
      </w:r>
      <w:r>
        <w:rPr>
          <w:b w:val="0"/>
          <w:bCs w:val="0"/>
          <w:sz w:val="28"/>
          <w:szCs w:val="28"/>
        </w:rPr>
        <w:t xml:space="preserve"> – Заполнение детализации «Информация о расчетном счете» для ФК</w:t>
      </w:r>
      <w:r/>
    </w:p>
    <w:p>
      <w:pPr>
        <w:keepLines w:val="0"/>
      </w:pPr>
      <w:r>
        <w:t xml:space="preserve">Поле «Наименование контрагента для платежного поручения» обязательно для заполнения и доступно для редактирования.</w:t>
      </w:r>
      <w:r/>
    </w:p>
    <w:p>
      <w:pPr>
        <w:keepLines w:val="0"/>
      </w:pPr>
      <w:r>
        <w:t xml:space="preserve">В случае если поставщиком является автономное учреждение или бюджетное </w:t>
      </w:r>
      <w:r>
        <w:t xml:space="preserve">учреждение</w:t>
      </w:r>
      <w:r>
        <w:t xml:space="preserve"> или казённое учреждение или унитарное предприятие </w:t>
      </w:r>
      <w:r>
        <w:t xml:space="preserve">или казённое предприятие, то необходимо заполнить поля «Информация об ОКТМО» и «КБК». Поле «Информация об ОКТМО» заполняется путем выбора значения из справочника «ОКТМО» с ограничением по записям, у которых в поле «Код» указано значение длинной 8 символов.</w:t>
      </w:r>
      <w:r/>
    </w:p>
    <w:p>
      <w:pPr>
        <w:keepLines w:val="0"/>
      </w:pPr>
      <w:r>
        <w:t xml:space="preserve">Поле «КБК» заполните значение </w:t>
      </w:r>
      <w:r>
        <w:t xml:space="preserve">вручную,  допускается</w:t>
      </w:r>
      <w:r>
        <w:t xml:space="preserve"> заполнение значением, содержащим 20 символов или значением равным «0».</w:t>
      </w:r>
      <w:r/>
    </w:p>
    <w:p>
      <w:pPr>
        <w:keepLines w:val="0"/>
      </w:pPr>
      <w:r>
        <w:t xml:space="preserve">Поле «Поступление для АУ, БУ» заполняется путем выбора значения из справочника «Поступления для АУ БУ».</w:t>
      </w:r>
      <w:r/>
    </w:p>
    <w:p>
      <w:r>
        <w:t xml:space="preserve">Поле «Является счетом </w:t>
      </w:r>
      <w:r>
        <w:t xml:space="preserve">эскроу</w:t>
      </w:r>
      <w:r>
        <w:t xml:space="preserve">» обязательно для заполнения и открыто для ред</w:t>
      </w:r>
      <w:r>
        <w:t xml:space="preserve">актирования в случае, если в поле "Роль контрагента" указано значение "Заказчик", в поле "Вид обслуживающей организации" указано значение "Банк" и поле "Приобретение квартир по ДДУ" раздела «Общая информация сведений о контракте» заполнено значением "Да". </w:t>
      </w:r>
      <w:r/>
    </w:p>
    <w:p>
      <w:r>
        <w:rPr>
          <w:color w:val="ff0000"/>
        </w:rPr>
        <w:t xml:space="preserve">ВНИМАНИЕ!</w:t>
      </w:r>
      <w:r/>
    </w:p>
    <w:p>
      <w:pPr>
        <w:rPr>
          <w:i/>
          <w:color w:val="7030a0"/>
        </w:rPr>
      </w:pPr>
      <w:r>
        <w:rPr>
          <w:i/>
          <w:color w:val="7030a0"/>
        </w:rPr>
        <w:t xml:space="preserve">На карточке контрагента с ролью «Поставщик (подрядчик, исполнитель) поле «Является счетом </w:t>
      </w:r>
      <w:r>
        <w:rPr>
          <w:i/>
          <w:color w:val="7030a0"/>
        </w:rPr>
        <w:t xml:space="preserve">эскроу</w:t>
      </w:r>
      <w:r>
        <w:rPr>
          <w:i/>
          <w:color w:val="7030a0"/>
        </w:rPr>
        <w:t xml:space="preserve">» не предусмотрено.</w:t>
      </w:r>
      <w:r>
        <w:rPr>
          <w:i/>
          <w:color w:val="7030a0"/>
        </w:rPr>
      </w:r>
    </w:p>
    <w:p>
      <w:pPr>
        <w:ind w:firstLine="708"/>
        <w:jc w:val="left"/>
      </w:pPr>
      <w:r>
        <w:t xml:space="preserve">После заполнения нужных полей нажмите на кнопку «Сохранить» для сохранения сделанных изменений, далее на кнопку «Применить».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21" w:name="_Toc10"/>
      <w:r>
        <w:rPr>
          <w:szCs w:val="28"/>
        </w:rPr>
        <w:t xml:space="preserve">Места поставки товара, выполнения работ, оказания услуг</w:t>
      </w:r>
      <w:bookmarkEnd w:id="21"/>
      <w:r/>
      <w:r/>
    </w:p>
    <w:p>
      <w:r>
        <w:t xml:space="preserve">Перейдите в раздел «Места поставки товара, выполнения работ, оказания услуг». </w:t>
      </w:r>
      <w:r/>
    </w:p>
    <w:p>
      <w:r>
        <w:t xml:space="preserve">Для добавления записи нажмите кнопку «Операции» и выберите «Создать запись» (</w:t>
      </w:r>
      <w:r>
        <w:t xml:space="preserve">см.</w:t>
      </w:r>
      <w:r>
        <w:fldChar w:fldCharType="begin"/>
      </w:r>
      <w:r>
        <w:instrText xml:space="preserve"> REF _Ref511036691  \h</w:instrText>
      </w:r>
      <w:r>
        <w:fldChar w:fldCharType="separate"/>
      </w:r>
      <w:r>
        <w:rPr>
          <w:b/>
          <w:bCs/>
        </w:rPr>
        <w:t xml:space="preserve">Рисунок</w:t>
      </w:r>
      <w:r>
        <w:rPr>
          <w:b/>
          <w:bCs/>
        </w:rPr>
        <w:t xml:space="preserve"> 14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5011" cy="971283"/>
                <wp:effectExtent l="0" t="0" r="0" b="0"/>
                <wp:docPr id="16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32006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25010" cy="971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6.54pt;height:76.48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22" w:name="_Ref51103669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14</w:t>
      </w:r>
      <w:r>
        <w:rPr>
          <w:b w:val="0"/>
          <w:bCs w:val="0"/>
          <w:sz w:val="28"/>
          <w:szCs w:val="28"/>
        </w:rPr>
        <w:fldChar w:fldCharType="end"/>
      </w:r>
      <w:bookmarkEnd w:id="22"/>
      <w:r>
        <w:rPr>
          <w:b w:val="0"/>
          <w:bCs w:val="0"/>
          <w:sz w:val="28"/>
          <w:szCs w:val="28"/>
        </w:rPr>
        <w:t xml:space="preserve"> – Выполнение операции «Создать запись» для добавления места поставки</w:t>
      </w:r>
      <w:r/>
    </w:p>
    <w:p>
      <w:r>
        <w:t xml:space="preserve">В открывшемся окне заполните необходимые поля (см. </w:t>
      </w:r>
      <w:r>
        <w:fldChar w:fldCharType="begin"/>
      </w:r>
      <w:r>
        <w:instrText xml:space="preserve"> REF _Ref511036692  \h</w:instrText>
      </w:r>
      <w:r>
        <w:fldChar w:fldCharType="separate"/>
      </w:r>
      <w:r>
        <w:rPr>
          <w:b/>
          <w:bCs/>
        </w:rPr>
        <w:t xml:space="preserve">Рисунок 15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9650" cy="3295650"/>
                <wp:effectExtent l="0" t="0" r="0" b="0"/>
                <wp:docPr id="17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99643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819649" cy="3295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79.50pt;height:259.5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23" w:name="_Ref51103669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15</w:t>
      </w:r>
      <w:r>
        <w:rPr>
          <w:b w:val="0"/>
          <w:bCs w:val="0"/>
          <w:sz w:val="28"/>
          <w:szCs w:val="28"/>
        </w:rPr>
        <w:fldChar w:fldCharType="end"/>
      </w:r>
      <w:bookmarkEnd w:id="23"/>
      <w:r>
        <w:rPr>
          <w:b w:val="0"/>
          <w:bCs w:val="0"/>
          <w:sz w:val="28"/>
          <w:szCs w:val="28"/>
        </w:rPr>
        <w:t xml:space="preserve"> – Запись раздела «Места поставки товара, выполнения работ, оказания услуг»</w:t>
      </w:r>
      <w:r/>
    </w:p>
    <w:p>
      <w:r>
        <w:t xml:space="preserve">Поле «Дополнительная информация об адресе» заполняется автоматически значением поля «Адрес местонахождения» интерфейса «Заказчики» организации, указанной в поле «Заказчик» проекта контракта. При необходимости введите значение вручную с клавиатуры.</w:t>
      </w:r>
      <w:r/>
    </w:p>
    <w:p>
      <w:r>
        <w:t xml:space="preserve">В поле «Адрес по ГАР» выберите значение из справочника «Адреса».</w:t>
      </w:r>
      <w:r/>
    </w:p>
    <w:p>
      <w:r>
        <w:t xml:space="preserve">Поле «Код КЛАДР» заполните вводом значений с клавиатуры.</w:t>
      </w:r>
      <w:r/>
    </w:p>
    <w:p>
      <w:r>
        <w:t xml:space="preserve">В поле «Ответственный за прием» выберите значение из детализации «Сотрудники» интерфейса «Заказчики» с ограничением по организации, указанной в поле «Заказчик» записи детализации «Условия исполнения».</w:t>
      </w:r>
      <w:r/>
    </w:p>
    <w:p>
      <w:r>
        <w:t xml:space="preserve">После заполнения нужных полей нажмите на кнопку «Сохранить» для сохранения внесенных изменений, далее на кнопку «Применить».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24" w:name="_Toc11"/>
      <w:r>
        <w:rPr>
          <w:szCs w:val="28"/>
        </w:rPr>
        <w:t xml:space="preserve">Заполнение раздела «Информация о сроках исполнения контракта»</w:t>
      </w:r>
      <w:bookmarkEnd w:id="24"/>
      <w:r/>
      <w:r/>
    </w:p>
    <w:p>
      <w:r>
        <w:t xml:space="preserve">Перейдите в раздел «Информация о сроках исполнения контракта». </w:t>
      </w:r>
      <w:r/>
    </w:p>
    <w:p>
      <w:r>
        <w:t xml:space="preserve">Для добавления записи нажмите кнопку «Операции» и выберите «Создать запись» (см. </w:t>
      </w:r>
      <w:r>
        <w:fldChar w:fldCharType="begin"/>
      </w:r>
      <w:r>
        <w:instrText xml:space="preserve"> REF _Ref511036693  \h</w:instrText>
      </w:r>
      <w:r>
        <w:fldChar w:fldCharType="separate"/>
      </w:r>
      <w:r>
        <w:rPr>
          <w:b/>
          <w:bCs/>
        </w:rPr>
        <w:t xml:space="preserve">Рисунок 16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870684"/>
                <wp:effectExtent l="0" t="0" r="0" b="0"/>
                <wp:docPr id="18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7303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480174" cy="870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510.25pt;height:68.56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25" w:name="_Ref51103669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16</w:t>
      </w:r>
      <w:r>
        <w:rPr>
          <w:b w:val="0"/>
          <w:bCs w:val="0"/>
          <w:sz w:val="28"/>
          <w:szCs w:val="28"/>
        </w:rPr>
        <w:fldChar w:fldCharType="end"/>
      </w:r>
      <w:bookmarkEnd w:id="25"/>
      <w:r>
        <w:rPr>
          <w:b w:val="0"/>
          <w:bCs w:val="0"/>
          <w:sz w:val="28"/>
          <w:szCs w:val="28"/>
        </w:rPr>
        <w:t xml:space="preserve"> – Выполнение операции «Создать запись» для добавления этапа</w:t>
      </w:r>
      <w:r/>
    </w:p>
    <w:p>
      <w:r>
        <w:t xml:space="preserve">После выполнения операции сформируется запись, в которой поля, обязательные для заполнения, обозначены «*» (см. </w:t>
      </w:r>
      <w:r>
        <w:fldChar w:fldCharType="begin"/>
      </w:r>
      <w:r>
        <w:instrText xml:space="preserve"> REF _Ref511036694  \h</w:instrText>
      </w:r>
      <w:r>
        <w:fldChar w:fldCharType="separate"/>
      </w:r>
      <w:r>
        <w:rPr>
          <w:b/>
          <w:bCs/>
        </w:rPr>
        <w:t xml:space="preserve">Рисунок 17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489973"/>
                <wp:effectExtent l="0" t="0" r="0" b="0"/>
                <wp:docPr id="19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67592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480174" cy="4489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10.25pt;height:353.54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/>
      <w:bookmarkStart w:id="26" w:name="_Ref51103669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17</w:t>
      </w:r>
      <w:r>
        <w:rPr>
          <w:b w:val="0"/>
          <w:bCs w:val="0"/>
          <w:sz w:val="28"/>
          <w:szCs w:val="28"/>
        </w:rPr>
        <w:fldChar w:fldCharType="end"/>
      </w:r>
      <w:bookmarkEnd w:id="26"/>
      <w:r>
        <w:rPr>
          <w:b w:val="0"/>
          <w:bCs w:val="0"/>
          <w:sz w:val="28"/>
          <w:szCs w:val="28"/>
        </w:rPr>
        <w:t xml:space="preserve"> – Запись этапа раздела «Информация о сроках исполнения контракта»</w:t>
      </w:r>
      <w:r>
        <w:rPr>
          <w:b w:val="0"/>
          <w:bCs w:val="0"/>
          <w:sz w:val="28"/>
          <w:szCs w:val="28"/>
        </w:rPr>
      </w:r>
    </w:p>
    <w:p>
      <w:r>
        <w:rPr>
          <w:bCs/>
        </w:rPr>
        <w:t xml:space="preserve">Поле «Номер этапа» заполняется автоматически, поле доступно для редактирования.</w:t>
      </w:r>
      <w:r/>
    </w:p>
    <w:p>
      <w:r>
        <w:t xml:space="preserve">Поля «Наименование этапа» и «Стоимость обязательства, руб.» заполняются вручную с клавиатуры.</w:t>
      </w:r>
      <w:r/>
    </w:p>
    <w:p>
      <w:r>
        <w:t xml:space="preserve">Поле «Поставщик (</w:t>
      </w:r>
      <w:r>
        <w:t xml:space="preserve">подрядчик, исполнитель)» заполняется путем выбора записи из раздела «Информация о контрагентах» с ограничением по записям, у которых в поле "Роль контрагенты" указано значение "Поставщик (подрядчик, исполнитель)". Отображается значение поля "Наименование".</w:t>
      </w:r>
      <w:r/>
    </w:p>
    <w:p>
      <w:pPr>
        <w:rPr>
          <w:bCs/>
        </w:rPr>
      </w:pPr>
      <w:r>
        <w:t xml:space="preserve">Если необходимо установить относительные сроки исполнения контракта в поле «Начало этапа контракта» значение «Дата заключения контракта».</w:t>
      </w:r>
      <w:r>
        <w:rPr>
          <w:bCs/>
        </w:rPr>
      </w:r>
    </w:p>
    <w:p>
      <w:pPr>
        <w:rPr>
          <w:bCs/>
        </w:rPr>
      </w:pPr>
      <w:r>
        <w:t xml:space="preserve">Поля «Количество дней до начала этапа контракта», «Количество дней до окончания этапа </w:t>
      </w:r>
      <w:r>
        <w:t xml:space="preserve">контракта»  заполняется</w:t>
      </w:r>
      <w:r>
        <w:t xml:space="preserve"> вручную с клавиатуры.</w:t>
      </w:r>
      <w:r>
        <w:rPr>
          <w:bCs/>
        </w:rPr>
      </w:r>
    </w:p>
    <w:p>
      <w:pPr>
        <w:rPr>
          <w:bCs/>
        </w:rPr>
      </w:pPr>
      <w:r>
        <w:t xml:space="preserve">Если необходимо установить </w:t>
      </w:r>
      <w:r>
        <w:t xml:space="preserve">неотносительные</w:t>
      </w:r>
      <w:r>
        <w:t xml:space="preserve"> сроки исполнения контракта в поле «Начало этапа контракта» значение «Дата начала исполнения».</w:t>
      </w:r>
      <w:r>
        <w:rPr>
          <w:bCs/>
        </w:rPr>
      </w:r>
    </w:p>
    <w:p>
      <w:pPr>
        <w:rPr>
          <w:bCs/>
        </w:rPr>
      </w:pPr>
      <w:r>
        <w:t xml:space="preserve">Поля «Дата начала исполнения этапа контракта», «Дата окончания исполнения этапа контракта» заполняется путем выбора значения из календаря.</w:t>
      </w:r>
      <w:r>
        <w:rPr>
          <w:bCs/>
        </w:rPr>
      </w:r>
    </w:p>
    <w:p>
      <w:r>
        <w:t xml:space="preserve">Поле «Окончание этапа контракта» заполняется автоматически на основании значения выбранного в поле «Начало этапа контракта».</w:t>
      </w:r>
      <w:r/>
    </w:p>
    <w:p>
      <w:r>
        <w:t xml:space="preserve">Если необходимо установить комбинированные сроки исполнения контракта в поле «Начало этапа контракта» необходимо указать «Дата заключения контракта». </w:t>
      </w:r>
      <w:r/>
    </w:p>
    <w:p>
      <w:r>
        <w:t xml:space="preserve">Поле «Количество дней до начала этапа контракта» оставить пустым.</w:t>
      </w:r>
      <w:r/>
    </w:p>
    <w:p>
      <w:r>
        <w:t xml:space="preserve">Поле «Окончание этапа контракта» необходимо указать «Дата окончания исполнения этапа контракта».</w:t>
      </w:r>
      <w:r/>
    </w:p>
    <w:p>
      <w:r>
        <w:t xml:space="preserve">Поля раздела «Предоставление результатов» заполняются при необходимости.</w:t>
      </w:r>
      <w:r/>
    </w:p>
    <w:p>
      <w:r>
        <w:t xml:space="preserve">Нажмите кнопку «Сохранить» для сохранения внесенных изменений, затем нажмите кнопку «Применить» (см. </w:t>
      </w:r>
      <w:r>
        <w:fldChar w:fldCharType="begin"/>
      </w:r>
      <w:r>
        <w:instrText xml:space="preserve"> REF _Ref511036694  \h</w:instrText>
      </w:r>
      <w:r>
        <w:fldChar w:fldCharType="separate"/>
      </w:r>
      <w:r>
        <w:rPr>
          <w:b/>
          <w:bCs/>
        </w:rPr>
        <w:t xml:space="preserve">Рисунок 17</w:t>
      </w:r>
      <w:r>
        <w:fldChar w:fldCharType="end"/>
      </w:r>
      <w:r>
        <w:t xml:space="preserve">).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27" w:name="_Toc12"/>
      <w:r>
        <w:rPr>
          <w:szCs w:val="28"/>
        </w:rPr>
        <w:t xml:space="preserve">Информация об оплате по контракту</w:t>
      </w:r>
      <w:bookmarkEnd w:id="27"/>
      <w:r/>
      <w:r/>
    </w:p>
    <w:p>
      <w:r>
        <w:t xml:space="preserve">Заполнять данный раздел не требуется. Информация не подлежит выгрузке в ЕИС в рамках проекта контракта.</w:t>
      </w:r>
      <w:r/>
    </w:p>
    <w:p>
      <w:pPr>
        <w:pStyle w:val="760"/>
        <w:ind w:hanging="9"/>
        <w:tabs>
          <w:tab w:val="left" w:pos="1418" w:leader="none"/>
        </w:tabs>
        <w:rPr>
          <w:szCs w:val="28"/>
        </w:rPr>
      </w:pPr>
      <w:r/>
      <w:bookmarkStart w:id="28" w:name="_Ref511036680"/>
      <w:r/>
      <w:bookmarkStart w:id="29" w:name="_Toc13"/>
      <w:r>
        <w:rPr>
          <w:szCs w:val="28"/>
        </w:rPr>
        <w:t xml:space="preserve">Информация об объекте закупки</w:t>
      </w:r>
      <w:bookmarkEnd w:id="28"/>
      <w:r/>
      <w:bookmarkEnd w:id="29"/>
      <w:r/>
      <w:r>
        <w:rPr>
          <w:szCs w:val="28"/>
        </w:rPr>
      </w:r>
    </w:p>
    <w:p>
      <w:r>
        <w:t xml:space="preserve">Перейдите в раздел «Информация об объекте закупки». Для добавления записи нажмите кнопку «Операции» и выберите «Создать запись» (см. </w:t>
      </w:r>
      <w:r>
        <w:fldChar w:fldCharType="begin"/>
      </w:r>
      <w:r>
        <w:instrText xml:space="preserve"> REF _Ref511036695  \h</w:instrText>
      </w:r>
      <w:r>
        <w:fldChar w:fldCharType="separate"/>
      </w:r>
      <w:r>
        <w:rPr>
          <w:b/>
          <w:bCs/>
        </w:rPr>
        <w:t xml:space="preserve">Рисунок 18</w:t>
      </w:r>
      <w: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524108"/>
                <wp:effectExtent l="0" t="0" r="0" b="0"/>
                <wp:docPr id="20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81219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480174" cy="15241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510.25pt;height:120.01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30" w:name="_Ref51103669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18</w:t>
      </w:r>
      <w:r>
        <w:rPr>
          <w:b w:val="0"/>
          <w:bCs w:val="0"/>
          <w:sz w:val="28"/>
          <w:szCs w:val="28"/>
        </w:rPr>
        <w:fldChar w:fldCharType="end"/>
      </w:r>
      <w:bookmarkEnd w:id="30"/>
      <w:r>
        <w:rPr>
          <w:b w:val="0"/>
          <w:bCs w:val="0"/>
          <w:sz w:val="28"/>
          <w:szCs w:val="28"/>
        </w:rPr>
        <w:t xml:space="preserve"> – Формирование записи объекта закупки</w:t>
      </w:r>
      <w:r/>
    </w:p>
    <w:p>
      <w:pPr>
        <w:ind w:firstLine="708"/>
      </w:pPr>
      <w:r>
        <w:t xml:space="preserve">В открывшейся форме записи заполните поля детализации «Информация об объекте закупки», как указано ниже (см. </w:t>
      </w:r>
      <w:r>
        <w:fldChar w:fldCharType="begin"/>
      </w:r>
      <w:r>
        <w:instrText xml:space="preserve"> REF _Ref511036696  \h</w:instrText>
      </w:r>
      <w:r>
        <w:fldChar w:fldCharType="separate"/>
      </w:r>
      <w:r>
        <w:rPr>
          <w:b/>
          <w:bCs/>
        </w:rPr>
        <w:t xml:space="preserve">Рисунок 19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820680"/>
                <wp:effectExtent l="0" t="0" r="0" b="0"/>
                <wp:docPr id="21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82934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480174" cy="48206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510.25pt;height:379.58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/>
      <w:bookmarkStart w:id="31" w:name="_Ref51103669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19</w:t>
      </w:r>
      <w:r>
        <w:rPr>
          <w:b w:val="0"/>
          <w:bCs w:val="0"/>
          <w:sz w:val="28"/>
          <w:szCs w:val="28"/>
        </w:rPr>
        <w:fldChar w:fldCharType="end"/>
      </w:r>
      <w:bookmarkEnd w:id="31"/>
      <w:r>
        <w:rPr>
          <w:b w:val="0"/>
          <w:bCs w:val="0"/>
          <w:sz w:val="28"/>
          <w:szCs w:val="28"/>
        </w:rPr>
        <w:t xml:space="preserve"> – Форма созданной записи объекта закупки</w:t>
      </w:r>
      <w:r>
        <w:rPr>
          <w:b w:val="0"/>
          <w:bCs w:val="0"/>
          <w:sz w:val="28"/>
          <w:szCs w:val="28"/>
        </w:rPr>
      </w:r>
    </w:p>
    <w:p>
      <w:r>
        <w:t xml:space="preserve">В поле «Номер этапа» выберите значение из раздела «Информация о сроках исполнения контракта» проекта контракта, нажав на кнопку вызова справочника.</w:t>
      </w:r>
      <w:r/>
    </w:p>
    <w:p>
      <w:r>
        <w:t xml:space="preserve">Поля «№ п/п», «Информация об объекте закупки в закупке»</w:t>
      </w:r>
      <w:r>
        <w:rPr>
          <w:rFonts w:ascii="Segoe UI" w:hAnsi="Segoe UI" w:cs="Segoe UI"/>
          <w:b/>
          <w:bCs/>
          <w:color w:val="333333"/>
          <w:sz w:val="18"/>
          <w:szCs w:val="18"/>
          <w:shd w:val="clear" w:color="auto" w:fill="ffffff"/>
        </w:rPr>
        <w:t xml:space="preserve">, </w:t>
      </w:r>
      <w:r>
        <w:t xml:space="preserve">«Код позиции каталога», «Код ОКПД 2»,</w:t>
      </w:r>
      <w:r>
        <w:t xml:space="preserve"> «Объектом закупки является медицинское изделие», «Функциональные, технические, качественные, эксплуатационные характеристики», «Тип объекта закупки», «Страна происхождения товара», «Единица измерения ОКЕИ» заполняются вручную и открыты для редактирования.</w:t>
      </w:r>
      <w:r/>
    </w:p>
    <w:p>
      <w:r>
        <w:t xml:space="preserve">Поле «Процент НДС» заполните выбором значения из выпадающего списка. Доступны значения НДС в соответствии с ЕИС: «Без НДС», «0 %», «10 %», «18%», «20 %».</w:t>
      </w:r>
      <w:r/>
    </w:p>
    <w:p>
      <w:r>
        <w:t xml:space="preserve">Поля «Цена за единицу» и «Количество» заполняются вручную путем ввода с клавиатуры.</w:t>
      </w:r>
      <w:r/>
    </w:p>
    <w:p>
      <w:r>
        <w:t xml:space="preserve">Поля «Код номенклатурной классифи</w:t>
      </w:r>
      <w:r>
        <w:t xml:space="preserve">кации медицинских изделий» и «Наименование по номенклатурной классификации медицинских изделий» открыты, если в поле «Объектом закупки является медицинское изделие» указано значение «Да», и заполняются путем выбора значения из соответствующего справочника.</w:t>
      </w:r>
      <w:r/>
    </w:p>
    <w:p>
      <w:r>
        <w:t xml:space="preserve">Поле «Стоимость» рассчитывается автоматически произведени</w:t>
      </w:r>
      <w:r>
        <w:t xml:space="preserve">ем полей «Цена за единицу» * «Количество». Полученный результат округляется до сотых долей. При этом во внимание принимается только третья цифра после запятой и не смотрится на то, какая цифра стоит четвертой после запятой. Поле открыто для редактирования.</w:t>
      </w:r>
      <w:r/>
    </w:p>
    <w:p>
      <w:r>
        <w:t xml:space="preserve">Поля «Цена за единицу без НДС», «Сумма НДС», «Стоимость без НДС» заполняются автоматически значениями, рассчитанными на основании значений, указанных в полях «Стоимость» и «Процент НДС». Поля открыты для редактирования.</w:t>
      </w:r>
      <w:r/>
    </w:p>
    <w:p>
      <w:r>
        <w:t xml:space="preserve">Нажмите на кнопку «Сохранить» формы записи для сохранения внесенных данных, затем, нажмите на кнопку «Применить» (см. </w:t>
      </w:r>
      <w:r>
        <w:fldChar w:fldCharType="begin"/>
      </w:r>
      <w:r>
        <w:instrText xml:space="preserve"> REF _Ref511036696  \h</w:instrText>
      </w:r>
      <w:r>
        <w:fldChar w:fldCharType="separate"/>
      </w:r>
      <w:r>
        <w:rPr>
          <w:b/>
          <w:bCs/>
        </w:rPr>
        <w:t xml:space="preserve">Рисунок 19</w:t>
      </w:r>
      <w:r>
        <w:fldChar w:fldCharType="end"/>
      </w:r>
      <w:r>
        <w:t xml:space="preserve">). В результате выполненных действий в разделе «Информация об объекте закупки» отобразится сформированная запись объекта закупки.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32" w:name="_Toc14"/>
      <w:r>
        <w:rPr>
          <w:szCs w:val="28"/>
        </w:rPr>
        <w:t xml:space="preserve">Заполнение раздела «Характеристики товара (работы, услуги)»</w:t>
      </w:r>
      <w:bookmarkEnd w:id="32"/>
      <w:r/>
      <w:r/>
    </w:p>
    <w:p>
      <w:r>
        <w:t xml:space="preserve">Перейдите в раздел «Характеристики товара (работы, услуги)». Для добавления записи нажмите кнопку «Операции» и выберите «Создать запись» (см. </w:t>
      </w:r>
      <w:r>
        <w:fldChar w:fldCharType="begin"/>
      </w:r>
      <w:r>
        <w:instrText xml:space="preserve"> REF _Ref511036697  \h</w:instrText>
      </w:r>
      <w:r>
        <w:fldChar w:fldCharType="separate"/>
      </w:r>
      <w:r>
        <w:rPr>
          <w:b/>
          <w:bCs/>
        </w:rPr>
        <w:t xml:space="preserve">Рисунок 20</w:t>
      </w:r>
      <w: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13470"/>
                <wp:effectExtent l="0" t="0" r="0" b="0"/>
                <wp:docPr id="22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14327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480174" cy="32134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510.25pt;height:253.03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33" w:name="_Ref51103669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20</w:t>
      </w:r>
      <w:r>
        <w:rPr>
          <w:b w:val="0"/>
          <w:bCs w:val="0"/>
          <w:sz w:val="28"/>
          <w:szCs w:val="28"/>
        </w:rPr>
        <w:fldChar w:fldCharType="end"/>
      </w:r>
      <w:bookmarkEnd w:id="33"/>
      <w:r>
        <w:rPr>
          <w:b w:val="0"/>
          <w:bCs w:val="0"/>
          <w:sz w:val="28"/>
          <w:szCs w:val="28"/>
        </w:rPr>
        <w:t xml:space="preserve"> – Добавление характеристики в детализации «Характеристика товара, работы, услуги»</w:t>
      </w:r>
      <w:r/>
    </w:p>
    <w:p>
      <w:r>
        <w:t xml:space="preserve">В случае, если объект закупки выбран из справочника КТРУ, то для добавления характеристики откройте карточку объекта закупки, перейдите в детализацию «Характеристики товара (работы, услуги)», нажмите </w:t>
      </w:r>
      <w:r>
        <w:t xml:space="preserve">кнопку  «</w:t>
      </w:r>
      <w:r>
        <w:t xml:space="preserve">Операции» и выберите «Создать запись».</w:t>
      </w:r>
      <w:r/>
    </w:p>
    <w:p>
      <w:r>
        <w:t xml:space="preserve">В открывшейся форме записи в поле «Наименование характеристики» нажмите кнопку вызова справочника (см. </w:t>
      </w:r>
      <w:r>
        <w:fldChar w:fldCharType="begin"/>
      </w:r>
      <w:r>
        <w:instrText xml:space="preserve"> REF _Ref511036698  \h</w:instrText>
      </w:r>
      <w:r>
        <w:fldChar w:fldCharType="separate"/>
      </w:r>
      <w:r>
        <w:rPr>
          <w:b/>
          <w:bCs/>
        </w:rPr>
        <w:t xml:space="preserve">Рисунок 21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2881" cy="2903369"/>
                <wp:effectExtent l="0" t="0" r="0" b="0"/>
                <wp:docPr id="23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28559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742880" cy="2903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52.20pt;height:228.61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34" w:name="_Ref51103669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21</w:t>
      </w:r>
      <w:r>
        <w:rPr>
          <w:b w:val="0"/>
          <w:bCs w:val="0"/>
          <w:sz w:val="28"/>
          <w:szCs w:val="28"/>
        </w:rPr>
        <w:fldChar w:fldCharType="end"/>
      </w:r>
      <w:bookmarkEnd w:id="34"/>
      <w:r>
        <w:rPr>
          <w:b w:val="0"/>
          <w:bCs w:val="0"/>
          <w:sz w:val="28"/>
          <w:szCs w:val="28"/>
        </w:rPr>
        <w:t xml:space="preserve"> – Переход в справочник «Характеристики товара, работы, услуги»</w:t>
      </w:r>
      <w:r/>
    </w:p>
    <w:p>
      <w:r>
        <w:t xml:space="preserve">В результате выполненных действий откроется детализация «Характеристики товара, работы, услуги» объекта закупки, в которой отобразятся все записи имеющихся по объекту характеристик (см. </w:t>
      </w:r>
      <w:r>
        <w:fldChar w:fldCharType="begin"/>
      </w:r>
      <w:r>
        <w:instrText xml:space="preserve"> REF _Ref511036699  \h</w:instrText>
      </w:r>
      <w:r>
        <w:fldChar w:fldCharType="separate"/>
      </w:r>
      <w:r>
        <w:rPr>
          <w:b/>
          <w:bCs/>
        </w:rPr>
        <w:t xml:space="preserve">Рисунок 22</w:t>
      </w:r>
      <w:r>
        <w:fldChar w:fldCharType="end"/>
      </w:r>
      <w:r>
        <w:t xml:space="preserve">).</w:t>
      </w:r>
      <w:r/>
    </w:p>
    <w:p>
      <w:r>
        <w:t xml:space="preserve">Выберите необходимые характеристики, отметьте галкой и нажмите кнопку «Применить» (см. </w:t>
      </w:r>
      <w:r>
        <w:fldChar w:fldCharType="begin"/>
      </w:r>
      <w:r>
        <w:instrText xml:space="preserve"> REF _Ref511036699  \h</w:instrText>
      </w:r>
      <w:r>
        <w:fldChar w:fldCharType="separate"/>
      </w:r>
      <w:r>
        <w:rPr>
          <w:b/>
          <w:bCs/>
        </w:rPr>
        <w:t xml:space="preserve">Рисунок 22</w:t>
      </w:r>
      <w:r>
        <w:fldChar w:fldCharType="end"/>
      </w:r>
      <w:r>
        <w:t xml:space="preserve">),  поля детализации заполнятся значениями выбранной записи, далее, нажмите кнопку «Применить» для сохранения данных (см. </w:t>
      </w:r>
      <w:r>
        <w:fldChar w:fldCharType="begin"/>
      </w:r>
      <w:r>
        <w:instrText xml:space="preserve"> REF _Ref511036700  \h</w:instrText>
      </w:r>
      <w:r>
        <w:fldChar w:fldCharType="separate"/>
      </w:r>
      <w:r>
        <w:rPr>
          <w:b/>
          <w:bCs/>
        </w:rPr>
        <w:t xml:space="preserve">Рисунок 23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4352" cy="2744211"/>
                <wp:effectExtent l="0" t="0" r="0" b="0"/>
                <wp:docPr id="24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97295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484351" cy="27442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31.84pt;height:216.08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35" w:name="_Ref51103669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22</w:t>
      </w:r>
      <w:r>
        <w:rPr>
          <w:b w:val="0"/>
          <w:bCs w:val="0"/>
          <w:sz w:val="28"/>
          <w:szCs w:val="28"/>
        </w:rPr>
        <w:fldChar w:fldCharType="end"/>
      </w:r>
      <w:bookmarkEnd w:id="35"/>
      <w:r>
        <w:rPr>
          <w:b w:val="0"/>
          <w:bCs w:val="0"/>
          <w:sz w:val="28"/>
          <w:szCs w:val="28"/>
        </w:rPr>
        <w:t xml:space="preserve"> – Выбор характеристики в разделе «Характеристика товара, работы, услуги»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930" cy="3000410"/>
                <wp:effectExtent l="0" t="0" r="0" b="0"/>
                <wp:docPr id="25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80324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991929" cy="3000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71.81pt;height:236.25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36" w:name="_Ref51103670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23</w:t>
      </w:r>
      <w:r>
        <w:rPr>
          <w:b w:val="0"/>
          <w:bCs w:val="0"/>
          <w:sz w:val="28"/>
          <w:szCs w:val="28"/>
        </w:rPr>
        <w:fldChar w:fldCharType="end"/>
      </w:r>
      <w:bookmarkEnd w:id="36"/>
      <w:r>
        <w:rPr>
          <w:b w:val="0"/>
          <w:bCs w:val="0"/>
          <w:sz w:val="28"/>
          <w:szCs w:val="28"/>
        </w:rPr>
        <w:t xml:space="preserve"> – Заполненная детализация «Характеристика товара, работы, услуги» объекта закупки</w:t>
      </w:r>
      <w:r/>
    </w:p>
    <w:p>
      <w:r>
        <w:t xml:space="preserve">Различают следующие виды характеристик объектов закупки из КТРУ:</w:t>
      </w:r>
      <w:r/>
    </w:p>
    <w:p>
      <w:pPr>
        <w:pStyle w:val="928"/>
        <w:numPr>
          <w:ilvl w:val="0"/>
          <w:numId w:val="15"/>
        </w:numPr>
        <w:ind w:left="0" w:firstLine="709"/>
        <w:tabs>
          <w:tab w:val="left" w:pos="1134" w:leader="none"/>
        </w:tabs>
      </w:pPr>
      <w:r>
        <w:t xml:space="preserve">«Неизменяемая заказчиком»;</w:t>
      </w:r>
      <w:r/>
    </w:p>
    <w:p>
      <w:pPr>
        <w:pStyle w:val="928"/>
        <w:numPr>
          <w:ilvl w:val="0"/>
          <w:numId w:val="15"/>
        </w:numPr>
        <w:ind w:left="0" w:firstLine="709"/>
        <w:tabs>
          <w:tab w:val="left" w:pos="1134" w:leader="none"/>
        </w:tabs>
      </w:pPr>
      <w:r>
        <w:t xml:space="preserve">«Изменяемая заказчиком с выбором одного значения»;</w:t>
      </w:r>
      <w:r/>
    </w:p>
    <w:p>
      <w:pPr>
        <w:pStyle w:val="928"/>
        <w:numPr>
          <w:ilvl w:val="0"/>
          <w:numId w:val="15"/>
        </w:numPr>
        <w:ind w:left="0" w:firstLine="709"/>
        <w:tabs>
          <w:tab w:val="left" w:pos="1134" w:leader="none"/>
        </w:tabs>
      </w:pPr>
      <w:r>
        <w:t xml:space="preserve">«Изменяемая заказчиком, выбор нескольких значений».</w:t>
      </w:r>
      <w:r/>
    </w:p>
    <w:p>
      <w:r>
        <w:t xml:space="preserve">Если в поле «Вид характеристики» указано значение «Неизменяемая заказчиком», то пользователь не может вносить изменения в параметры характеристики.</w:t>
      </w:r>
      <w:r/>
    </w:p>
    <w:p>
      <w:r>
        <w:t xml:space="preserve">Если в поле «Вид характеристики» указано значение «Изменяемая заказчиком с выбором одного значения», то пользователь может изменять параметры характеристики, при этом добавление характеристики допускается только один раз. </w:t>
      </w:r>
      <w:r/>
    </w:p>
    <w:p>
      <w:r>
        <w:t xml:space="preserve">Из характеристик с видом «Изменяемая заказчиком с выбором одного значения» необходимо выбрать одну нужную, остальные необходимо удалить. Для этого отметьте галкой характеристики, которые необходимо удалить и выберите операцию «Удалить».</w:t>
      </w:r>
      <w:r/>
    </w:p>
    <w:p>
      <w:r>
        <w:t xml:space="preserve"> Если в поле «Вид характеристики» указано значение «Изменяемая заказчиком, выбор нескольких значений», то пользователь может изменять параметры характеристики, при этом добавление характеристики допускается несколько раз.</w:t>
      </w:r>
      <w:r/>
    </w:p>
    <w:p>
      <w:r>
        <w:t xml:space="preserve">Если продукция, к кото</w:t>
      </w:r>
      <w:r>
        <w:t xml:space="preserve">рой необходимо добавить характеристику, выбрана не из КТРУ или для продукции необходимо добавить дополнительную характеристику, которая отсутствует в справочнике КТРУ нажмите на кнопку «Операции» и выберите «Создать запись» и заполните детализацию вручную.</w:t>
      </w:r>
      <w:r/>
    </w:p>
    <w:p>
      <w:pPr>
        <w:keepLines w:val="0"/>
      </w:pPr>
      <w:r>
        <w:t xml:space="preserve">В поле «Наименование характеристики» введите значение с клавиатуры.</w:t>
      </w:r>
      <w:r/>
    </w:p>
    <w:p>
      <w:pPr>
        <w:keepLines w:val="0"/>
      </w:pPr>
      <w:r>
        <w:t xml:space="preserve">В поле «Тип характеристики» выберите значение из выпадающего списка.</w:t>
      </w:r>
      <w:r/>
    </w:p>
    <w:p>
      <w:r>
        <w:t xml:space="preserve">При выборе типа характеристики «Качественная» становится обязательным (отмечено знаком «</w:t>
      </w:r>
      <w:r>
        <w:rPr>
          <w:color w:val="ff0000"/>
        </w:rPr>
        <w:t xml:space="preserve">*</w:t>
      </w:r>
      <w:r>
        <w:t xml:space="preserve">») и открытым для заполнения поле «Текстовое описание значения качественной характеристики». Заполните поле вводом значений с клавиатуры (см. </w:t>
      </w:r>
      <w:r>
        <w:fldChar w:fldCharType="begin"/>
      </w:r>
      <w:r>
        <w:instrText xml:space="preserve"> REF _Ref511036701  \h</w:instrText>
      </w:r>
      <w:r>
        <w:fldChar w:fldCharType="separate"/>
      </w:r>
      <w:r>
        <w:rPr>
          <w:b/>
          <w:bCs/>
        </w:rPr>
        <w:t xml:space="preserve">Рисунок 24</w:t>
      </w:r>
      <w:r>
        <w:fldChar w:fldCharType="end"/>
      </w:r>
      <w:r>
        <w:t xml:space="preserve">). Затем, нажмите на кнопку «Применить» для сохранения внесенных изменений.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4610100"/>
                <wp:effectExtent l="0" t="0" r="0" b="0"/>
                <wp:docPr id="26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80752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476999" cy="4610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10.00pt;height:363.00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37" w:name="_Ref51103670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24</w:t>
      </w:r>
      <w:r>
        <w:rPr>
          <w:b w:val="0"/>
          <w:bCs w:val="0"/>
          <w:sz w:val="28"/>
          <w:szCs w:val="28"/>
        </w:rPr>
        <w:fldChar w:fldCharType="end"/>
      </w:r>
      <w:bookmarkEnd w:id="37"/>
      <w:r>
        <w:rPr>
          <w:b w:val="0"/>
          <w:bCs w:val="0"/>
          <w:sz w:val="28"/>
          <w:szCs w:val="28"/>
        </w:rPr>
        <w:t xml:space="preserve"> – Заполнение раздела «Характеристика товара, работы, услуги» с типом характеристики «Качественная»</w:t>
      </w:r>
      <w:r/>
    </w:p>
    <w:p>
      <w:r>
        <w:t xml:space="preserve">При выборе типа характеристики «Количественная» становится доступным для заполнения поле «Вариант указания значения количественной характеристики», которое заполняется значением из выпадающего списка (см. </w:t>
      </w:r>
      <w:r>
        <w:fldChar w:fldCharType="begin"/>
      </w:r>
      <w:r>
        <w:instrText xml:space="preserve"> REF _Ref511036702  \h</w:instrText>
      </w:r>
      <w:r>
        <w:fldChar w:fldCharType="separate"/>
      </w:r>
      <w:r>
        <w:rPr>
          <w:b/>
          <w:bCs/>
        </w:rPr>
        <w:t xml:space="preserve">Рисунок 25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4619625"/>
                <wp:effectExtent l="0" t="0" r="0" b="0"/>
                <wp:docPr id="27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07690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476999" cy="4619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510.00pt;height:363.75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/>
      <w:bookmarkStart w:id="38" w:name="_Ref51103670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25</w:t>
      </w:r>
      <w:r>
        <w:rPr>
          <w:b w:val="0"/>
          <w:bCs w:val="0"/>
          <w:sz w:val="28"/>
          <w:szCs w:val="28"/>
        </w:rPr>
        <w:fldChar w:fldCharType="end"/>
      </w:r>
      <w:bookmarkEnd w:id="38"/>
      <w:r>
        <w:rPr>
          <w:b w:val="0"/>
          <w:bCs w:val="0"/>
          <w:sz w:val="28"/>
          <w:szCs w:val="28"/>
        </w:rPr>
        <w:t xml:space="preserve"> – Заполнение раздела «Характеристика товара, работы, услуги» с типом характеристики «Количественная»</w:t>
      </w:r>
      <w:r>
        <w:rPr>
          <w:b w:val="0"/>
          <w:bCs w:val="0"/>
          <w:sz w:val="28"/>
          <w:szCs w:val="28"/>
        </w:rPr>
      </w:r>
    </w:p>
    <w:p>
      <w:r>
        <w:t xml:space="preserve">Если необходимо указать конкретное значение количественной характеристики, то заполните поле «Значение».</w:t>
      </w:r>
      <w:r/>
    </w:p>
    <w:p>
      <w:r>
        <w:t xml:space="preserve">Если необходимо указать диапазон значений, то в полях «Математическое обозначение отношения к м</w:t>
      </w:r>
      <w:r>
        <w:t xml:space="preserve">инимальному значению диапазона» и «Математическое обозначение отношения к максимальному значению диапазона» выберите значение из выпадающего списка, в полях «Минимальное значение диапазона», «Максимальное значение диапазона» введите значение с клавиатуры (</w:t>
      </w:r>
      <w:r>
        <w:t xml:space="preserve">см. )</w:t>
      </w:r>
      <w:r>
        <w:t xml:space="preserve">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3943350"/>
                <wp:effectExtent l="0" t="0" r="0" b="0"/>
                <wp:docPr id="28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11481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476999" cy="3943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510.00pt;height:310.50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26</w:t>
      </w:r>
      <w:r>
        <w:rPr>
          <w:b w:val="0"/>
          <w:bCs w:val="0"/>
          <w:sz w:val="28"/>
          <w:szCs w:val="28"/>
        </w:rPr>
        <w:fldChar w:fldCharType="end"/>
      </w:r>
      <w:r>
        <w:rPr>
          <w:b w:val="0"/>
          <w:bCs w:val="0"/>
          <w:sz w:val="28"/>
          <w:szCs w:val="28"/>
        </w:rPr>
        <w:t xml:space="preserve"> – Заполнение раздела «Характеристика товара, работы, услуги» с типом характеристики «Количественная» и указанием диапазона значений</w:t>
      </w:r>
      <w:r>
        <w:rPr>
          <w:b w:val="0"/>
          <w:bCs w:val="0"/>
          <w:sz w:val="28"/>
          <w:szCs w:val="28"/>
        </w:rPr>
      </w:r>
    </w:p>
    <w:p>
      <w:r>
        <w:t xml:space="preserve">При необходимости заполните поле «Единица измерения ОКЕИ» выбором значения из справочника.</w:t>
      </w:r>
      <w:r/>
    </w:p>
    <w:p>
      <w:r>
        <w:t xml:space="preserve">Нажмите на кнопку «Сохранить» заголовка карточки для сохранения внесенных изменений, затем, нажмите на кнопку «Применить».</w:t>
      </w:r>
      <w:r/>
    </w:p>
    <w:p>
      <w:pPr>
        <w:pStyle w:val="760"/>
        <w:ind w:hanging="9"/>
        <w:tabs>
          <w:tab w:val="left" w:pos="1418" w:leader="none"/>
        </w:tabs>
        <w:rPr>
          <w:szCs w:val="28"/>
        </w:rPr>
      </w:pPr>
      <w:r/>
      <w:bookmarkStart w:id="39" w:name="_Toc15"/>
      <w:r>
        <w:rPr>
          <w:szCs w:val="28"/>
        </w:rPr>
        <w:t xml:space="preserve">Заполнение раздела «Товары, поставляемые заказчику при выполнении закупаемых работ, оказании закупаемых услуг»</w:t>
      </w:r>
      <w:bookmarkEnd w:id="39"/>
      <w:r/>
      <w:r>
        <w:rPr>
          <w:szCs w:val="28"/>
        </w:rPr>
      </w:r>
    </w:p>
    <w:p>
      <w:r>
        <w:t xml:space="preserve">В случае необходимости возможно выполнить операцию «Создать запись» (см. </w:t>
      </w:r>
      <w:r>
        <w:fldChar w:fldCharType="begin"/>
      </w:r>
      <w:r>
        <w:instrText xml:space="preserve"> REF _Ref511036678  \h</w:instrText>
      </w:r>
      <w:r>
        <w:fldChar w:fldCharType="separate"/>
      </w:r>
      <w:r>
        <w:rPr>
          <w:b/>
          <w:bCs/>
        </w:rPr>
        <w:t xml:space="preserve">Рисунок 27</w:t>
      </w:r>
      <w:r>
        <w:fldChar w:fldCharType="end"/>
      </w:r>
      <w:r>
        <w:t xml:space="preserve">) для формирования записи товара, поставляемого заказчику при выполнении закупаемых работ, оказании закупаемых услуг.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008504"/>
                <wp:effectExtent l="0" t="0" r="0" b="0"/>
                <wp:docPr id="29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9499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480174" cy="10085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510.25pt;height:79.41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40" w:name="_Ref51103667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27</w:t>
      </w:r>
      <w:r>
        <w:rPr>
          <w:b w:val="0"/>
          <w:bCs w:val="0"/>
          <w:sz w:val="28"/>
          <w:szCs w:val="28"/>
        </w:rPr>
        <w:fldChar w:fldCharType="end"/>
      </w:r>
      <w:bookmarkEnd w:id="40"/>
      <w:r>
        <w:rPr>
          <w:b w:val="0"/>
          <w:bCs w:val="0"/>
          <w:sz w:val="28"/>
          <w:szCs w:val="28"/>
        </w:rPr>
        <w:t xml:space="preserve"> – Выбор операции «Создать запись»</w:t>
      </w:r>
      <w:r/>
    </w:p>
    <w:p>
      <w:pPr>
        <w:ind w:firstLine="708"/>
        <w:jc w:val="left"/>
      </w:pPr>
      <w:r>
        <w:t xml:space="preserve">В результате выполнения операции сформируется карточка записи, заполните поля данной записи (см. </w:t>
      </w:r>
      <w:r>
        <w:fldChar w:fldCharType="begin"/>
      </w:r>
      <w:r>
        <w:instrText xml:space="preserve"> REF _Ref511036679  \h</w:instrText>
      </w:r>
      <w:r>
        <w:fldChar w:fldCharType="separate"/>
      </w:r>
      <w:r>
        <w:rPr>
          <w:b/>
          <w:bCs/>
        </w:rPr>
        <w:t xml:space="preserve">Рисунок 28</w:t>
      </w:r>
      <w: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883610"/>
                <wp:effectExtent l="0" t="0" r="0" b="0"/>
                <wp:docPr id="30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73374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6480174" cy="488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510.25pt;height:384.54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41" w:name="_Ref51103667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28</w:t>
      </w:r>
      <w:r>
        <w:rPr>
          <w:b w:val="0"/>
          <w:bCs w:val="0"/>
          <w:sz w:val="28"/>
          <w:szCs w:val="28"/>
        </w:rPr>
        <w:fldChar w:fldCharType="end"/>
      </w:r>
      <w:bookmarkEnd w:id="41"/>
      <w:r>
        <w:rPr>
          <w:b w:val="0"/>
          <w:bCs w:val="0"/>
          <w:sz w:val="28"/>
          <w:szCs w:val="28"/>
        </w:rPr>
        <w:t xml:space="preserve"> – Сформированная запись раздела «Товары, поставляемые заказчику при выполнении закупаемых работ, оказании закупаемых услуг»</w:t>
      </w:r>
      <w:r/>
    </w:p>
    <w:p>
      <w:r>
        <w:t xml:space="preserve">Поле «Номер этапа» заполняется автоматически значением одноименного поля раздела «Информация о сроках исполнения контракта».</w:t>
      </w:r>
      <w:r/>
    </w:p>
    <w:p>
      <w:r>
        <w:t xml:space="preserve">В поле «Наименование работы, услуги» выберите значение из раздела «Информация об объекте закупки» запись, у которой в поле «Тип объекта закупки» указано значение отличное от «Товар».</w:t>
      </w:r>
      <w:r/>
    </w:p>
    <w:p>
      <w:r>
        <w:t xml:space="preserve">Заполнение оставшихся полей описано в разделе </w:t>
      </w:r>
      <w:r>
        <w:fldChar w:fldCharType="begin"/>
      </w:r>
      <w:r>
        <w:instrText xml:space="preserve"> REF _Ref511036680 \r  \h</w:instrText>
      </w:r>
      <w:r>
        <w:fldChar w:fldCharType="separate"/>
      </w:r>
      <w:r>
        <w:t xml:space="preserve">2.11</w:t>
      </w:r>
      <w:r>
        <w:fldChar w:fldCharType="end"/>
      </w:r>
      <w:r>
        <w:t xml:space="preserve">.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42" w:name="_Toc16"/>
      <w:r>
        <w:rPr>
          <w:szCs w:val="28"/>
        </w:rPr>
        <w:t xml:space="preserve">Заполнение раздела «Информация о финансовом обеспечении»</w:t>
      </w:r>
      <w:bookmarkEnd w:id="42"/>
      <w:r/>
      <w:r/>
    </w:p>
    <w:p>
      <w:r>
        <w:t xml:space="preserve">Раздел «Информация о финансовом обеспечении» заполняется автоматически на основании данных, указанных в связанной позиции плана графика, при формировании проекта контракта.</w:t>
      </w:r>
      <w:r/>
    </w:p>
    <w:p>
      <w:r>
        <w:t xml:space="preserve">Все поля обязательные для заполнения (отмечены «*») должны быть заполнены. При необходимости откорректируйте данные.</w:t>
      </w:r>
      <w:r/>
    </w:p>
    <w:p>
      <w:r>
        <w:t xml:space="preserve">Если необходимо добавить новую запись в раздел, то нажмите на кнопку «Операции» и выберите операцию «Создать».</w:t>
      </w:r>
      <w:r/>
    </w:p>
    <w:p>
      <w:r>
        <w:t xml:space="preserve">В открывшемся окне заполните поля раздела (поля, обязательные для заполнения, обозначены «*») (см. </w:t>
      </w:r>
      <w:r>
        <w:fldChar w:fldCharType="begin"/>
      </w:r>
      <w:r>
        <w:instrText xml:space="preserve"> REF _Ref511036703  \h</w:instrText>
      </w:r>
      <w:r>
        <w:fldChar w:fldCharType="separate"/>
      </w:r>
      <w:r>
        <w:rPr>
          <w:b/>
          <w:bCs/>
        </w:rPr>
        <w:t xml:space="preserve">Рисунок 29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100" cy="3238500"/>
                <wp:effectExtent l="0" t="0" r="0" b="0"/>
                <wp:docPr id="31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35332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753099" cy="3238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53.00pt;height:255.00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/>
      <w:bookmarkStart w:id="43" w:name="_Ref51103670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29</w:t>
      </w:r>
      <w:r>
        <w:rPr>
          <w:b w:val="0"/>
          <w:bCs w:val="0"/>
          <w:sz w:val="28"/>
          <w:szCs w:val="28"/>
        </w:rPr>
        <w:fldChar w:fldCharType="end"/>
      </w:r>
      <w:bookmarkEnd w:id="43"/>
      <w:r>
        <w:rPr>
          <w:b w:val="0"/>
          <w:bCs w:val="0"/>
          <w:sz w:val="28"/>
          <w:szCs w:val="28"/>
        </w:rPr>
        <w:t xml:space="preserve"> – Внесение изменений в карточку записи финансового обеспечения</w:t>
      </w:r>
      <w:r>
        <w:rPr>
          <w:b w:val="0"/>
          <w:bCs w:val="0"/>
          <w:sz w:val="28"/>
          <w:szCs w:val="28"/>
        </w:rPr>
      </w:r>
    </w:p>
    <w:p>
      <w:r>
        <w:t xml:space="preserve">В поле «Номер этапа» выберите значение из раздела «Информация о сроках исполнения контракта». Для этого нажмите на кнопку. В открывшемся окне выберите нужный этап, установив галку, и нажмите «Применить».</w:t>
      </w:r>
      <w:r/>
    </w:p>
    <w:p>
      <w:pPr>
        <w:keepLines w:val="0"/>
      </w:pPr>
      <w:r>
        <w:t xml:space="preserve">В поле «Аванс» выберите значение «Да», если по данной строке финансирования предусмотрен аванс.</w:t>
      </w:r>
      <w:r/>
    </w:p>
    <w:p>
      <w:pPr>
        <w:keepLines w:val="0"/>
      </w:pPr>
      <w:r>
        <w:t xml:space="preserve">В поле «Год финансирования» введите значение вручную.</w:t>
      </w:r>
      <w:r/>
    </w:p>
    <w:p>
      <w:pPr>
        <w:keepLines w:val="0"/>
      </w:pPr>
      <w:r>
        <w:t xml:space="preserve">В поле «Объем финансирования, руб.» введите значение вручную.</w:t>
      </w:r>
      <w:r/>
    </w:p>
    <w:p>
      <w:pPr>
        <w:keepLines w:val="0"/>
      </w:pPr>
      <w:r>
        <w:t xml:space="preserve">Поле «Источник финансирования закупки» при создании записи в разделе заполнится автоматически.</w:t>
      </w:r>
      <w:r/>
    </w:p>
    <w:p>
      <w:r>
        <w:t xml:space="preserve">В поле «Код бюджетной классификации» нажмите на кнопку для вызова справочника «Сметные (плановые) назначения за вычетом принятых обязательств по контрактам». Перед тем как выбрать нужную строку, убедитесь, что по вы</w:t>
      </w:r>
      <w:r>
        <w:t xml:space="preserve">бранной классификации финансирования достаточно для данного контракта, для этого посмотрите суммы в поле «Финансовое обеспечение» за нужный год финансирования, если финансирования достаточно, то для выбора найденного значения нажмите на кнопку «Применить».</w:t>
      </w:r>
      <w:r/>
    </w:p>
    <w:p>
      <w:r>
        <w:t xml:space="preserve">После заполнения необходимых полей нажмите на кнопку «Сохранить» для сохранения внесенных изменений, далее кнопку «Применить».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44" w:name="_Toc17"/>
      <w:r>
        <w:rPr>
          <w:szCs w:val="28"/>
        </w:rPr>
        <w:t xml:space="preserve">Заполнение информации о вложениях</w:t>
      </w:r>
      <w:bookmarkEnd w:id="44"/>
      <w:r/>
      <w:r/>
    </w:p>
    <w:p>
      <w:r>
        <w:t xml:space="preserve">Перейдите в раздел «Вложения (см. </w:t>
      </w:r>
      <w:r>
        <w:fldChar w:fldCharType="begin"/>
      </w:r>
      <w:r>
        <w:instrText xml:space="preserve"> REF _Ref511036704  \h</w:instrText>
      </w:r>
      <w:r>
        <w:fldChar w:fldCharType="separate"/>
      </w:r>
      <w:r>
        <w:rPr>
          <w:b/>
          <w:bCs/>
        </w:rPr>
        <w:t xml:space="preserve">Рисунок 30</w:t>
      </w:r>
      <w: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1028700"/>
                <wp:effectExtent l="0" t="0" r="0" b="0"/>
                <wp:docPr id="32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58657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534024" cy="1028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35.75pt;height:81.00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45" w:name="_Ref51103670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30</w:t>
      </w:r>
      <w:r>
        <w:rPr>
          <w:b w:val="0"/>
          <w:bCs w:val="0"/>
          <w:sz w:val="28"/>
          <w:szCs w:val="28"/>
        </w:rPr>
        <w:fldChar w:fldCharType="end"/>
      </w:r>
      <w:bookmarkEnd w:id="45"/>
      <w:r>
        <w:rPr>
          <w:b w:val="0"/>
          <w:bCs w:val="0"/>
          <w:sz w:val="28"/>
          <w:szCs w:val="28"/>
        </w:rPr>
        <w:t xml:space="preserve"> – Переход в раздел «Вложения»</w:t>
      </w:r>
      <w:r/>
    </w:p>
    <w:p>
      <w:r>
        <w:t xml:space="preserve">Нажмите на кнопку «Операции» и выберите «Приложить файл» (см. </w:t>
      </w:r>
      <w:r>
        <w:fldChar w:fldCharType="begin"/>
      </w:r>
      <w:r>
        <w:instrText xml:space="preserve"> REF _Ref511036705  \h</w:instrText>
      </w:r>
      <w:r>
        <w:fldChar w:fldCharType="separate"/>
      </w:r>
      <w:r>
        <w:rPr>
          <w:b/>
          <w:bCs/>
        </w:rPr>
        <w:t xml:space="preserve">Рисунок 31</w:t>
      </w:r>
      <w: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95975" cy="1543050"/>
                <wp:effectExtent l="0" t="0" r="0" b="0"/>
                <wp:docPr id="33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68984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895974" cy="1543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64.25pt;height:121.50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46" w:name="_Ref51103670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31</w:t>
      </w:r>
      <w:r>
        <w:rPr>
          <w:b w:val="0"/>
          <w:bCs w:val="0"/>
          <w:sz w:val="28"/>
          <w:szCs w:val="28"/>
        </w:rPr>
        <w:fldChar w:fldCharType="end"/>
      </w:r>
      <w:bookmarkEnd w:id="46"/>
      <w:r>
        <w:rPr>
          <w:b w:val="0"/>
          <w:bCs w:val="0"/>
          <w:sz w:val="28"/>
          <w:szCs w:val="28"/>
        </w:rPr>
        <w:t xml:space="preserve"> –  Выбор операции «Приложить файл»</w:t>
      </w:r>
      <w:r/>
    </w:p>
    <w:p>
      <w:r>
        <w:t xml:space="preserve">В открывшейся форме выберите из справочника значение в поле «Вид вложения». Для этого нажмите на кнопку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1155" cy="382905"/>
                <wp:effectExtent l="0" t="0" r="0" b="0"/>
                <wp:docPr id="34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7385051" name="Picture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351154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27.65pt;height:30.15pt;mso-wrap-distance-left:0.00pt;mso-wrap-distance-top:0.00pt;mso-wrap-distance-right:0.00pt;mso-wrap-distance-bottom:0.00pt;" stroked="f">
                <v:path textboxrect="0,0,0,0"/>
                <v:imagedata r:id="rId49" o:title=""/>
              </v:shape>
            </w:pict>
          </mc:Fallback>
        </mc:AlternateContent>
      </w:r>
      <w:r>
        <w:t xml:space="preserve">. Выберите значение справочника и нажмите на кнопку «Применить». (см. </w:t>
      </w:r>
      <w:r>
        <w:fldChar w:fldCharType="begin"/>
      </w:r>
      <w:r>
        <w:instrText xml:space="preserve"> REF _Ref511036706  \h</w:instrText>
      </w:r>
      <w:r>
        <w:fldChar w:fldCharType="separate"/>
      </w:r>
      <w:r>
        <w:rPr>
          <w:b/>
          <w:bCs/>
        </w:rPr>
        <w:t xml:space="preserve">Рисунок 32</w:t>
      </w:r>
      <w: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38775" cy="1543050"/>
                <wp:effectExtent l="0" t="0" r="0" b="0"/>
                <wp:docPr id="35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98479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438774" cy="1543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28.25pt;height:121.50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47" w:name="_Ref51103670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32</w:t>
      </w:r>
      <w:r>
        <w:rPr>
          <w:b w:val="0"/>
          <w:bCs w:val="0"/>
          <w:sz w:val="28"/>
          <w:szCs w:val="28"/>
        </w:rPr>
        <w:fldChar w:fldCharType="end"/>
      </w:r>
      <w:bookmarkEnd w:id="47"/>
      <w:r>
        <w:rPr>
          <w:b w:val="0"/>
          <w:bCs w:val="0"/>
          <w:sz w:val="28"/>
          <w:szCs w:val="28"/>
        </w:rPr>
        <w:t xml:space="preserve"> – Выбор вида вложения в форме операции</w:t>
      </w:r>
      <w:r/>
    </w:p>
    <w:p>
      <w:r>
        <w:t xml:space="preserve">В открывшемся диалоговом окне выберите файл, который необходимо приложить.</w:t>
      </w:r>
      <w:r/>
    </w:p>
    <w:p>
      <w:r>
        <w:t xml:space="preserve">После окончания выполнения операции отобразится сообщение «Файл успешно прикреплен». Нажмите на кнопку «Закрыть», чтобы закрыть сообщение (см. </w:t>
      </w:r>
      <w:r>
        <w:fldChar w:fldCharType="begin"/>
      </w:r>
      <w:r>
        <w:instrText xml:space="preserve"> REF _Ref511036707  \h</w:instrText>
      </w:r>
      <w:r>
        <w:fldChar w:fldCharType="separate"/>
      </w:r>
      <w:r>
        <w:rPr>
          <w:b/>
          <w:bCs/>
        </w:rPr>
        <w:t xml:space="preserve">Рисунок 33</w:t>
      </w:r>
      <w: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2152650"/>
                <wp:effectExtent l="0" t="0" r="0" b="0"/>
                <wp:docPr id="36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44944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810249" cy="2152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57.50pt;height:169.50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48" w:name="_Ref51103670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33</w:t>
      </w:r>
      <w:r>
        <w:rPr>
          <w:b w:val="0"/>
          <w:bCs w:val="0"/>
          <w:sz w:val="28"/>
          <w:szCs w:val="28"/>
        </w:rPr>
        <w:fldChar w:fldCharType="end"/>
      </w:r>
      <w:bookmarkEnd w:id="48"/>
      <w:r>
        <w:rPr>
          <w:b w:val="0"/>
          <w:bCs w:val="0"/>
          <w:sz w:val="28"/>
          <w:szCs w:val="28"/>
        </w:rPr>
        <w:t xml:space="preserve"> – Результат загрузки вложения</w:t>
      </w:r>
      <w:r/>
    </w:p>
    <w:p>
      <w:r>
        <w:t xml:space="preserve">Для дальнейшей работы с документом переведите вложение в состояние «Ввод завершен». </w:t>
      </w:r>
      <w:r/>
    </w:p>
    <w:p>
      <w:r>
        <w:t xml:space="preserve">Если в поле «Отмена процедуры заключения контракта» установлено значение «Нет», то в разделе «Вложения» обязательно должна быть одна запись с видом вложения «Проект контракта».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49" w:name="_Toc18"/>
      <w:r>
        <w:rPr>
          <w:szCs w:val="28"/>
        </w:rPr>
        <w:t xml:space="preserve">Выполнение предварительных контролей</w:t>
      </w:r>
      <w:bookmarkEnd w:id="49"/>
      <w:r/>
      <w:r/>
    </w:p>
    <w:p>
      <w:r>
        <w:t xml:space="preserve">На панели инструментов нажмите на кнопку «Контроли» и выберите «Все контроли» (см. </w:t>
      </w:r>
      <w:r>
        <w:fldChar w:fldCharType="begin"/>
      </w:r>
      <w:r>
        <w:instrText xml:space="preserve"> REF _Ref511036708  \h</w:instrText>
      </w:r>
      <w:r>
        <w:fldChar w:fldCharType="separate"/>
      </w:r>
      <w:r>
        <w:rPr>
          <w:b/>
          <w:bCs/>
        </w:rPr>
        <w:t xml:space="preserve">Рисунок 34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8800" cy="1409700"/>
                <wp:effectExtent l="0" t="0" r="0" b="0"/>
                <wp:docPr id="37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76680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638799" cy="1409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44.00pt;height:111.00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50" w:name="_Ref51103670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34</w:t>
      </w:r>
      <w:r>
        <w:rPr>
          <w:b w:val="0"/>
          <w:bCs w:val="0"/>
          <w:sz w:val="28"/>
          <w:szCs w:val="28"/>
        </w:rPr>
        <w:fldChar w:fldCharType="end"/>
      </w:r>
      <w:bookmarkEnd w:id="50"/>
      <w:r>
        <w:rPr>
          <w:b w:val="0"/>
          <w:bCs w:val="0"/>
          <w:sz w:val="28"/>
          <w:szCs w:val="28"/>
        </w:rPr>
        <w:t xml:space="preserve"> – Выбор предварительных контролей</w:t>
      </w:r>
      <w:r/>
    </w:p>
    <w:p>
      <w:r>
        <w:t xml:space="preserve">Результатом контроля документа является протокол проверки (см. </w:t>
      </w:r>
      <w:r>
        <w:fldChar w:fldCharType="begin"/>
      </w:r>
      <w:r>
        <w:instrText xml:space="preserve"> REF _Ref511036709  \h</w:instrText>
      </w:r>
      <w:r>
        <w:fldChar w:fldCharType="separate"/>
      </w:r>
      <w:r>
        <w:rPr>
          <w:b/>
          <w:bCs/>
        </w:rPr>
        <w:t xml:space="preserve">Рисунок 35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34841" cy="2194760"/>
                <wp:effectExtent l="0" t="0" r="0" b="0"/>
                <wp:docPr id="38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06038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rcRect l="1460" t="6781" r="2325" b="7349"/>
                        <a:stretch/>
                      </pic:blipFill>
                      <pic:spPr bwMode="auto">
                        <a:xfrm>
                          <a:off x="0" y="0"/>
                          <a:ext cx="6234840" cy="2194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90.93pt;height:172.82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51" w:name="_Ref51103670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35</w:t>
      </w:r>
      <w:r>
        <w:rPr>
          <w:b w:val="0"/>
          <w:bCs w:val="0"/>
          <w:sz w:val="28"/>
          <w:szCs w:val="28"/>
        </w:rPr>
        <w:fldChar w:fldCharType="end"/>
      </w:r>
      <w:bookmarkEnd w:id="51"/>
      <w:r>
        <w:rPr>
          <w:b w:val="0"/>
          <w:bCs w:val="0"/>
          <w:sz w:val="28"/>
          <w:szCs w:val="28"/>
        </w:rPr>
        <w:t xml:space="preserve"> – Протокол проверки документа</w:t>
      </w:r>
      <w:r/>
    </w:p>
    <w:p>
      <w:r>
        <w:t xml:space="preserve">Описание элементов протокола проверки приведено в таблице </w:t>
      </w:r>
      <w:r>
        <w:fldChar w:fldCharType="begin"/>
      </w:r>
      <w:r>
        <w:instrText xml:space="preserve"> REF _Ref511036720  \h</w:instrText>
      </w:r>
      <w:r>
        <w:fldChar w:fldCharType="separate"/>
      </w:r>
      <w:r>
        <w:t xml:space="preserve">Таблица 1</w:t>
      </w:r>
      <w:r>
        <w:fldChar w:fldCharType="end"/>
      </w:r>
      <w:r>
        <w:t xml:space="preserve">.</w:t>
      </w:r>
      <w:r/>
    </w:p>
    <w:p>
      <w:pPr>
        <w:pStyle w:val="969"/>
        <w:rPr>
          <w:sz w:val="28"/>
          <w:szCs w:val="28"/>
        </w:rPr>
      </w:pPr>
      <w:r/>
      <w:bookmarkStart w:id="52" w:name="_Ref511036720"/>
      <w:r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Таблица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fldChar w:fldCharType="end"/>
      </w:r>
      <w:bookmarkEnd w:id="5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  <w:lang w:val="en-US"/>
        </w:rPr>
        <w:t xml:space="preserve"></w:t>
      </w:r>
      <w:r>
        <w:rPr>
          <w:sz w:val="28"/>
          <w:szCs w:val="28"/>
        </w:rPr>
        <w:t xml:space="preserve"> Элементы протокола проверки проекта контракта</w:t>
      </w:r>
      <w:r>
        <w:rPr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221"/>
        <w:gridCol w:w="8974"/>
      </w:tblGrid>
      <w:tr>
        <w:tblPrEx/>
        <w:trPr>
          <w:cantSplit/>
          <w:tblHeader/>
        </w:trPr>
        <w:tc>
          <w:tcPr>
            <w:shd w:val="clear" w:color="ffffff" w:fill="ffffff"/>
            <w:tcW w:w="1242" w:type="dxa"/>
            <w:vAlign w:val="center"/>
            <w:textDirection w:val="lrTb"/>
            <w:noWrap w:val="false"/>
          </w:tcPr>
          <w:p>
            <w:pPr>
              <w:pStyle w:val="9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vAlign w:val="center"/>
            <w:textDirection w:val="lrTb"/>
            <w:noWrap w:val="false"/>
          </w:tcPr>
          <w:p>
            <w:pPr>
              <w:pStyle w:val="9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нарушениями.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закрытия протокола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60"/>
        <w:numPr>
          <w:ilvl w:val="0"/>
          <w:numId w:val="0"/>
        </w:numPr>
        <w:tabs>
          <w:tab w:val="left" w:pos="1418" w:leader="none"/>
        </w:tabs>
      </w:pPr>
      <w:r/>
      <w:r/>
    </w:p>
    <w:p>
      <w:pPr>
        <w:pStyle w:val="760"/>
        <w:ind w:hanging="9"/>
        <w:tabs>
          <w:tab w:val="left" w:pos="1418" w:leader="none"/>
        </w:tabs>
      </w:pPr>
      <w:r/>
      <w:bookmarkStart w:id="53" w:name="_Toc19"/>
      <w:r/>
      <w:bookmarkStart w:id="54" w:name="_Ref511036716"/>
      <w:r>
        <w:t xml:space="preserve">Направление проекта контракта на Финансовый контроль</w:t>
      </w:r>
      <w:bookmarkEnd w:id="53"/>
      <w:r/>
      <w:r/>
    </w:p>
    <w:p>
      <w:pPr>
        <w:ind w:firstLine="567"/>
        <w:tabs>
          <w:tab w:val="left" w:pos="1134" w:leader="none"/>
        </w:tabs>
        <w:rPr>
          <w:i/>
          <w:color w:val="ff0000"/>
          <w:sz w:val="32"/>
        </w:rPr>
      </w:pPr>
      <w:r>
        <w:rPr>
          <w:i/>
          <w:color w:val="ff0000"/>
          <w:sz w:val="32"/>
        </w:rPr>
        <w:t xml:space="preserve">Внимание!</w:t>
      </w:r>
      <w:r>
        <w:rPr>
          <w:i/>
          <w:color w:val="ff0000"/>
          <w:sz w:val="32"/>
        </w:rPr>
      </w:r>
    </w:p>
    <w:p>
      <w:pPr>
        <w:ind w:firstLine="567"/>
        <w:tabs>
          <w:tab w:val="left" w:pos="1134" w:leader="none"/>
        </w:tabs>
        <w:rPr>
          <w:i/>
          <w:color w:val="7030a0"/>
        </w:rPr>
      </w:pPr>
      <w:r>
        <w:rPr>
          <w:b/>
          <w:i/>
          <w:color w:val="7030a0"/>
        </w:rPr>
        <w:t xml:space="preserve">Заказчикам уровня субъекта РФ</w:t>
      </w:r>
      <w:r>
        <w:rPr>
          <w:i/>
          <w:color w:val="7030a0"/>
        </w:rPr>
        <w:t xml:space="preserve"> при заключении контракта с единственным поставщиком (подрядчиком, исполнителем) в соответствии с п. 2, 3, 6, 7, 10 - 14, 16, 17, 19</w:t>
      </w:r>
      <w:r>
        <w:rPr>
          <w:i/>
          <w:color w:val="7030a0"/>
        </w:rPr>
        <w:t xml:space="preserve">, 22, 31 - 33, 35, 37 - 39, 47, 48, 54, 55 ч. 1 ст. 93 №44-ФЗ необходимо сформировать проект контракта посредством ГИСЗ НСО и направить его в Систему исполнения бюджета для проведения контроля финансовым органом в соответствии с частью 5 статьи 99 №44-ФЗ (</w:t>
      </w:r>
      <w:r>
        <w:rPr>
          <w:b/>
          <w:i/>
          <w:color w:val="7030a0"/>
        </w:rPr>
        <w:t xml:space="preserve">далее – Финансовый контроль</w:t>
      </w:r>
      <w:r>
        <w:rPr>
          <w:i/>
          <w:color w:val="7030a0"/>
        </w:rPr>
        <w:t xml:space="preserve">).</w:t>
      </w:r>
      <w:r>
        <w:rPr>
          <w:i/>
          <w:color w:val="7030a0"/>
        </w:rPr>
      </w:r>
    </w:p>
    <w:p>
      <w:pPr>
        <w:ind w:firstLine="567"/>
        <w:tabs>
          <w:tab w:val="left" w:pos="1134" w:leader="none"/>
        </w:tabs>
        <w:rPr>
          <w:i/>
          <w:color w:val="7030a0"/>
        </w:rPr>
      </w:pPr>
      <w:r>
        <w:rPr>
          <w:i/>
          <w:color w:val="7030a0"/>
        </w:rPr>
      </w:r>
      <w:r>
        <w:rPr>
          <w:i/>
          <w:color w:val="7030a0"/>
        </w:rPr>
      </w:r>
    </w:p>
    <w:p>
      <w:pPr>
        <w:ind w:firstLine="567"/>
        <w:tabs>
          <w:tab w:val="left" w:pos="1134" w:leader="none"/>
        </w:tabs>
        <w:rPr>
          <w:color w:val="000000" w:themeColor="text1"/>
        </w:rPr>
      </w:pPr>
      <w:r>
        <w:rPr>
          <w:color w:val="000000" w:themeColor="text1"/>
        </w:rPr>
        <w:t xml:space="preserve">Для направления проекта контракта в систему исполнения бюджета для прохождения Финансового контроля необходимо выбрать действие «Отправить на контроль по ч. 5 ст. 99 44-ФЗ» (см. </w:t>
      </w:r>
      <w:r>
        <w:rPr>
          <w:b/>
          <w:bCs/>
          <w:color w:val="000000" w:themeColor="text1"/>
        </w:rPr>
        <w:fldChar w:fldCharType="begin"/>
      </w:r>
      <w:r>
        <w:rPr>
          <w:b/>
          <w:bCs/>
          <w:color w:val="000000" w:themeColor="text1"/>
        </w:rPr>
        <w:instrText xml:space="preserve"> REF _Ref511030257 \h </w:instrText>
      </w:r>
      <w:r>
        <w:rPr>
          <w:b/>
          <w:bCs/>
          <w:color w:val="000000" w:themeColor="text1"/>
        </w:rPr>
        <w:fldChar w:fldCharType="separate"/>
      </w:r>
      <w:r>
        <w:rPr>
          <w:b/>
          <w:bCs/>
        </w:rPr>
        <w:t xml:space="preserve">Рисунок 36</w:t>
      </w:r>
      <w:r>
        <w:rPr>
          <w:b/>
          <w:bCs/>
          <w:color w:val="000000" w:themeColor="text1"/>
        </w:rPr>
        <w:fldChar w:fldCharType="end"/>
      </w:r>
      <w:r>
        <w:rPr>
          <w:color w:val="000000" w:themeColor="text1"/>
        </w:rPr>
        <w:t xml:space="preserve">).</w:t>
      </w:r>
      <w:r>
        <w:rPr>
          <w:color w:val="000000" w:themeColor="text1"/>
        </w:rPr>
      </w:r>
    </w:p>
    <w:p>
      <w:pPr>
        <w:ind w:firstLine="0"/>
        <w:jc w:val="center"/>
        <w:tabs>
          <w:tab w:val="left" w:pos="1134" w:leader="none"/>
        </w:tabs>
        <w:rPr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06405" cy="1716361"/>
                <wp:effectExtent l="0" t="0" r="0" b="0"/>
                <wp:docPr id="39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4431301" cy="1726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346.96pt;height:135.15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Style w:val="964"/>
        <w:ind w:left="1500" w:hanging="1500"/>
        <w:jc w:val="center"/>
        <w:tabs>
          <w:tab w:val="left" w:pos="1134" w:leader="none"/>
        </w:tabs>
        <w:rPr>
          <w:color w:val="000000" w:themeColor="text1"/>
        </w:rPr>
      </w:pPr>
      <w:r/>
      <w:bookmarkStart w:id="55" w:name="_Ref511030257"/>
      <w:r>
        <w:t xml:space="preserve">Рисунок </w:t>
      </w:r>
      <w:bookmarkStart w:id="56" w:name="р1своик223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36</w:t>
      </w:r>
      <w:r>
        <w:fldChar w:fldCharType="end"/>
      </w:r>
      <w:bookmarkEnd w:id="55"/>
      <w:r/>
      <w:bookmarkEnd w:id="56"/>
      <w:r>
        <w:t xml:space="preserve"> </w:t>
      </w:r>
      <w:r>
        <w:rPr>
          <w:rFonts w:ascii="Symbol" w:hAnsi="Symbol" w:eastAsia="Symbol" w:cs="Symbol"/>
        </w:rPr>
        <w:t xml:space="preserve"></w:t>
      </w:r>
      <w:r>
        <w:rPr>
          <w:color w:val="000000" w:themeColor="text1"/>
        </w:rPr>
        <w:t xml:space="preserve"> Действие «Отправить на контроль по ч. 5 ст. 99 44-ФЗ»</w:t>
      </w:r>
      <w:r>
        <w:rPr>
          <w:color w:val="000000" w:themeColor="text1"/>
        </w:rPr>
      </w:r>
    </w:p>
    <w:p>
      <w:r>
        <w:t xml:space="preserve">В результате выполнения данного действия проект контракта будет переведен в состояние «На контроле»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_Ref513789368 \h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37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5293" cy="1196340"/>
                <wp:effectExtent l="0" t="0" r="8255" b="3810"/>
                <wp:docPr id="40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5409666" cy="12107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20.89pt;height:94.20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57" w:name="_Ref513789368"/>
      <w:r>
        <w:t xml:space="preserve">Рисунок </w:t>
      </w:r>
      <w:bookmarkStart w:id="58" w:name="р2своик223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37</w:t>
      </w:r>
      <w:r>
        <w:fldChar w:fldCharType="end"/>
      </w:r>
      <w:bookmarkEnd w:id="57"/>
      <w:r/>
      <w:bookmarkEnd w:id="58"/>
      <w:r>
        <w:t xml:space="preserve"> </w:t>
      </w:r>
      <w:r>
        <w:rPr>
          <w:rFonts w:ascii="Symbol" w:hAnsi="Symbol" w:eastAsia="Symbol" w:cs="Symbol"/>
        </w:rPr>
        <w:t xml:space="preserve"></w:t>
      </w:r>
      <w:r>
        <w:t xml:space="preserve"> Состояние документа «На контроле»</w:t>
      </w:r>
      <w:r/>
    </w:p>
    <w:p>
      <w:r>
        <w:t xml:space="preserve">В случае успешного прохождения Финансового контроля из системы исполнения бюджета в ГИСЗ НСО загружается результат прохождения Финансового</w:t>
      </w:r>
      <w:r>
        <w:t xml:space="preserve"> контроля в раздел «Контроль в соответствии с частью 5 статьи 99 Федерального закона № 44-ФЗ», а также уведомление о соответствии контролируемой информации требованиям, установленным частью 5 статьи 99 Закона о контрактной системе в раздел «Вложения»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_Ref513789514 \h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38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486025"/>
                <wp:effectExtent l="0" t="0" r="0" b="9525"/>
                <wp:docPr id="41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480174" cy="2486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510.25pt;height:195.75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59" w:name="_Ref513789514"/>
      <w:r>
        <w:t xml:space="preserve">Рисунок </w:t>
      </w:r>
      <w:bookmarkStart w:id="60" w:name="р3своик223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38</w:t>
      </w:r>
      <w:r>
        <w:fldChar w:fldCharType="end"/>
      </w:r>
      <w:bookmarkEnd w:id="59"/>
      <w:r/>
      <w:bookmarkEnd w:id="60"/>
      <w:r>
        <w:t xml:space="preserve"> </w:t>
      </w:r>
      <w:r>
        <w:rPr>
          <w:rFonts w:ascii="Symbol" w:hAnsi="Symbol" w:eastAsia="Symbol" w:cs="Symbol"/>
        </w:rPr>
        <w:t xml:space="preserve"></w:t>
      </w:r>
      <w:r>
        <w:t xml:space="preserve"> Результат прохождения Финансового контроля</w:t>
      </w:r>
      <w:r/>
    </w:p>
    <w:p>
      <w:r>
        <w:t xml:space="preserve">Состояние проекта контракта при прохождении контроля меняется на «Согласован ФО»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_Ref513789821 \h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39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01376" cy="1722120"/>
                <wp:effectExtent l="0" t="0" r="4445" b="0"/>
                <wp:docPr id="42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116483" cy="1727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01.68pt;height:135.60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61" w:name="_Ref513789821"/>
      <w:r>
        <w:t xml:space="preserve">Рисунок </w:t>
      </w:r>
      <w:bookmarkStart w:id="62" w:name="р4своик223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39</w:t>
      </w:r>
      <w:r>
        <w:fldChar w:fldCharType="end"/>
      </w:r>
      <w:bookmarkEnd w:id="61"/>
      <w:r/>
      <w:bookmarkEnd w:id="62"/>
      <w:r>
        <w:t xml:space="preserve"> </w:t>
      </w:r>
      <w:r>
        <w:rPr>
          <w:rFonts w:ascii="Symbol" w:hAnsi="Symbol" w:eastAsia="Symbol" w:cs="Symbol"/>
        </w:rPr>
        <w:t xml:space="preserve"></w:t>
      </w:r>
      <w:r>
        <w:t xml:space="preserve"> Состояние документа «Согласован ФО»</w:t>
      </w:r>
      <w:r/>
    </w:p>
    <w:p>
      <w:r>
        <w:t xml:space="preserve">В случае, если Финансовый контроль не пройден, то в ГИСЗ НСО из системы исполнения бюджета загружается результат </w:t>
      </w:r>
      <w:r>
        <w:t xml:space="preserve">непрохождения</w:t>
      </w:r>
      <w:r>
        <w:t xml:space="preserve"> Финансовог</w:t>
      </w:r>
      <w:r>
        <w:t xml:space="preserve">о контроля в раздел «Контроль в соответствии с частью 5 статьи 99 Федерального закона № 44-ФЗ», а также протокол о несоответствии контролируемой информации требованиям, установленным частью 5 статьи 99 Закона о контрактной системе в раздел «Вложения»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_Ref9327113 \h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40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496185"/>
                <wp:effectExtent l="0" t="0" r="0" b="0"/>
                <wp:docPr id="43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480174" cy="2496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510.25pt;height:196.55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63" w:name="_Ref9327113"/>
      <w:r>
        <w:t xml:space="preserve">Рисунок </w:t>
      </w:r>
      <w:bookmarkStart w:id="64" w:name="р7своик223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40</w:t>
      </w:r>
      <w:r>
        <w:fldChar w:fldCharType="end"/>
      </w:r>
      <w:bookmarkEnd w:id="63"/>
      <w:r/>
      <w:bookmarkEnd w:id="64"/>
      <w:r>
        <w:t xml:space="preserve"> </w:t>
      </w:r>
      <w:r>
        <w:rPr>
          <w:rFonts w:ascii="Symbol" w:hAnsi="Symbol" w:eastAsia="Symbol" w:cs="Symbol"/>
        </w:rPr>
        <w:t xml:space="preserve"></w:t>
      </w:r>
      <w:r>
        <w:t xml:space="preserve"> Результат </w:t>
      </w:r>
      <w:r>
        <w:t xml:space="preserve">непрохождения</w:t>
      </w:r>
      <w:r>
        <w:t xml:space="preserve"> Финансового контроля</w:t>
      </w:r>
      <w:r/>
    </w:p>
    <w:p>
      <w:r>
        <w:t xml:space="preserve">Состояние проекта контракта при этом меняется на «Отклонено ФО»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_Ref9327129 \h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41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9015" cy="1001108"/>
                <wp:effectExtent l="0" t="0" r="635" b="8890"/>
                <wp:docPr id="44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4856406" cy="10088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379.45pt;height:78.83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65" w:name="_Ref9327129"/>
      <w:r>
        <w:t xml:space="preserve">Рисунок </w:t>
      </w:r>
      <w:bookmarkStart w:id="66" w:name="р8своик223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41</w:t>
      </w:r>
      <w:r>
        <w:fldChar w:fldCharType="end"/>
      </w:r>
      <w:bookmarkEnd w:id="65"/>
      <w:r/>
      <w:bookmarkEnd w:id="66"/>
      <w:r>
        <w:t xml:space="preserve"> </w:t>
      </w:r>
      <w:r>
        <w:rPr>
          <w:rFonts w:ascii="Symbol" w:hAnsi="Symbol" w:eastAsia="Symbol" w:cs="Symbol"/>
        </w:rPr>
        <w:t xml:space="preserve"></w:t>
      </w:r>
      <w:r>
        <w:t xml:space="preserve"> Состояние документа «Отклонено ФО»</w:t>
      </w:r>
      <w:r/>
    </w:p>
    <w:p>
      <w:r>
        <w:t xml:space="preserve">Заказчик формирует новую редакцию проекта контракта посредством ГИСЗ НСО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_Ref9327144 \h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42</w:t>
      </w:r>
      <w:r>
        <w:rPr>
          <w:b/>
          <w:bCs/>
        </w:rPr>
        <w:fldChar w:fldCharType="end"/>
      </w:r>
      <w:r>
        <w:t xml:space="preserve">), при необходимости устраняет выявленные несоответствия и повторно направляет проект контракта в систему исполнения бюджета через </w:t>
      </w:r>
      <w:r>
        <w:rPr>
          <w:color w:val="000000" w:themeColor="text1"/>
        </w:rPr>
        <w:t xml:space="preserve">действие «Отправить на контроль по ч. 5 ст. 99 44-ФЗ»</w:t>
      </w:r>
      <w:r>
        <w:t xml:space="preserve">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79035" cy="1525180"/>
                <wp:effectExtent l="0" t="0" r="0" b="0"/>
                <wp:docPr id="45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4997871" cy="1530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392.05pt;height:120.09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67" w:name="_Ref9327144"/>
      <w:r>
        <w:t xml:space="preserve">Рисунок </w:t>
      </w:r>
      <w:bookmarkStart w:id="68" w:name="р9своик223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42</w:t>
      </w:r>
      <w:r>
        <w:fldChar w:fldCharType="end"/>
      </w:r>
      <w:bookmarkEnd w:id="67"/>
      <w:r/>
      <w:bookmarkEnd w:id="68"/>
      <w:r>
        <w:t xml:space="preserve"> </w:t>
      </w:r>
      <w:r>
        <w:rPr>
          <w:rFonts w:ascii="Symbol" w:hAnsi="Symbol" w:eastAsia="Symbol" w:cs="Symbol"/>
        </w:rPr>
        <w:t xml:space="preserve"></w:t>
      </w:r>
      <w:r>
        <w:t xml:space="preserve"> Операция «Формирование новой редакции документа»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69" w:name="_Ref513789826"/>
      <w:r/>
      <w:bookmarkStart w:id="70" w:name="_Toc20"/>
      <w:r>
        <w:rPr>
          <w:szCs w:val="28"/>
        </w:rPr>
        <w:t xml:space="preserve">Выгрузка проекта контракта в Единую информационную систему</w:t>
      </w:r>
      <w:bookmarkEnd w:id="54"/>
      <w:r/>
      <w:bookmarkEnd w:id="69"/>
      <w:r/>
      <w:bookmarkEnd w:id="70"/>
      <w:r/>
      <w:r/>
    </w:p>
    <w:p>
      <w:r>
        <w:t xml:space="preserve">После заполнения необходимой информации отправьте проект контракта в ЕИС. Для этого переведите его в состояние «На размещении».</w:t>
      </w:r>
      <w:r/>
    </w:p>
    <w:p>
      <w:r>
        <w:t xml:space="preserve">Выполните соответствующее действие панели команд записи реестра документов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_Ref511036710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43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53075" cy="1390650"/>
                <wp:effectExtent l="0" t="0" r="0" b="0"/>
                <wp:docPr id="46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383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553074" cy="1390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37.25pt;height:109.50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71" w:name="_Ref51103671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43</w:t>
      </w:r>
      <w:r>
        <w:rPr>
          <w:b w:val="0"/>
          <w:bCs w:val="0"/>
          <w:sz w:val="28"/>
          <w:szCs w:val="28"/>
        </w:rPr>
        <w:fldChar w:fldCharType="end"/>
      </w:r>
      <w:bookmarkEnd w:id="71"/>
      <w:r>
        <w:rPr>
          <w:b w:val="0"/>
          <w:bCs w:val="0"/>
          <w:sz w:val="28"/>
          <w:szCs w:val="28"/>
        </w:rPr>
        <w:t xml:space="preserve"> – Изменение состояния проекта контракта</w:t>
      </w:r>
      <w:r/>
    </w:p>
    <w:p>
      <w:r>
        <w:t xml:space="preserve">При этом откроется форма ввода логина и пароля от личного кабинета ЕИС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_Ref511036711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44</w:t>
      </w:r>
      <w:r>
        <w:rPr>
          <w:b/>
          <w:bCs/>
        </w:rPr>
        <w:fldChar w:fldCharType="end"/>
      </w:r>
      <w:r>
        <w:t xml:space="preserve">). Введите логин и пароль и нажмите «Применить».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7850" cy="2105025"/>
                <wp:effectExtent l="0" t="0" r="0" b="0"/>
                <wp:docPr id="47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72059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5657850" cy="2105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45.50pt;height:165.75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72" w:name="_Ref51103671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44</w:t>
      </w:r>
      <w:r>
        <w:rPr>
          <w:b w:val="0"/>
          <w:bCs w:val="0"/>
          <w:sz w:val="28"/>
          <w:szCs w:val="28"/>
        </w:rPr>
        <w:fldChar w:fldCharType="end"/>
      </w:r>
      <w:bookmarkEnd w:id="72"/>
      <w:r>
        <w:rPr>
          <w:b w:val="0"/>
          <w:bCs w:val="0"/>
          <w:sz w:val="28"/>
          <w:szCs w:val="28"/>
        </w:rPr>
        <w:t xml:space="preserve"> – Форма ввода логина и пароля ЕИС</w:t>
      </w:r>
      <w:r/>
    </w:p>
    <w:p>
      <w:pPr>
        <w:ind w:left="1069" w:firstLine="0"/>
      </w:pPr>
      <w:r/>
      <w:r/>
    </w:p>
    <w:p>
      <w:pPr>
        <w:ind w:left="1069" w:firstLine="0"/>
        <w:rPr>
          <w:bCs/>
          <w:i/>
          <w:color w:val="ff0000"/>
        </w:rPr>
      </w:pP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pPr>
        <w:ind w:firstLine="0"/>
        <w:rPr>
          <w:bCs/>
          <w:i/>
          <w:color w:val="ff0000"/>
        </w:rPr>
      </w:pP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pPr>
        <w:ind w:left="1069" w:firstLine="0"/>
        <w:rPr>
          <w:bCs/>
          <w:i/>
          <w:color w:val="ff0000"/>
        </w:rPr>
      </w:pPr>
      <w:r>
        <w:rPr>
          <w:i/>
          <w:color w:val="ff0000"/>
        </w:rPr>
        <w:t xml:space="preserve">ВНИМАНИЕ!</w:t>
      </w:r>
      <w:r>
        <w:rPr>
          <w:bCs/>
          <w:i/>
          <w:color w:val="ff0000"/>
        </w:rPr>
      </w:r>
    </w:p>
    <w:p>
      <w:pPr>
        <w:rPr>
          <w:i/>
          <w:color w:val="7030a0"/>
        </w:rPr>
      </w:pPr>
      <w:r>
        <w:rPr>
          <w:i/>
          <w:color w:val="7030a0"/>
        </w:rPr>
        <w:t xml:space="preserve">Если выгруженный документ не направляется на размещение, а удаляется в личном кабинете ЕИС, то в ГИСЗ состояние с «На размещении» в «Редактируется» автоматически не изменится. Необходимо направить обращение в техническую поддержку ГИСЗ НСО</w:t>
      </w:r>
      <w:r>
        <w:rPr>
          <w:i/>
          <w:color w:val="7030a0"/>
        </w:rPr>
      </w:r>
    </w:p>
    <w:p>
      <w:pPr>
        <w:rPr>
          <w:color w:val="000000"/>
        </w:rPr>
      </w:pPr>
      <w:r>
        <w:rPr>
          <w:color w:val="000000"/>
        </w:rPr>
        <w:t xml:space="preserve">После перевода состояния в ГИСЗ НСО «На размещении», следует повторить выполнение действия по направлению структурированного проекта контракта на размещение в ЕИС.</w:t>
      </w:r>
      <w:r>
        <w:rPr>
          <w:color w:val="000000"/>
        </w:rPr>
      </w:r>
    </w:p>
    <w:p>
      <w:pPr>
        <w:ind w:left="1069" w:firstLine="0"/>
      </w:pPr>
      <w:r>
        <w:rPr>
          <w:i/>
          <w:color w:val="ff0000"/>
        </w:rPr>
        <w:t xml:space="preserve">ВНИМАНИЕ!</w:t>
      </w:r>
      <w:r/>
    </w:p>
    <w:p>
      <w:pPr>
        <w:rPr>
          <w:bCs/>
          <w:i/>
          <w:color w:val="7030a0"/>
        </w:rPr>
      </w:pPr>
      <w:r>
        <w:rPr>
          <w:i/>
          <w:color w:val="7030a0"/>
        </w:rPr>
        <w:t xml:space="preserve">Для отображения повторного действия в ГИСЗ НСО по выгрузке структурированного проекта контракта, следует дождаться в разделе «История вза</w:t>
      </w:r>
      <w:r>
        <w:rPr>
          <w:i/>
          <w:iCs/>
          <w:color w:val="7030a0"/>
        </w:rPr>
        <w:t xml:space="preserve">имодействия с ИС» ответа от единой информационной системы в сфере закупок (см. </w:t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_Ref511036712  \h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t xml:space="preserve">Рисунок 45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).</w:t>
      </w:r>
      <w:r>
        <w:rPr>
          <w:bCs/>
          <w:i/>
          <w:color w:val="7030a0"/>
        </w:rPr>
      </w:r>
    </w:p>
    <w:p>
      <w:pPr>
        <w:ind w:firstLine="0"/>
        <w:jc w:val="center"/>
        <w:rPr>
          <w:color w:val="000000"/>
        </w:rPr>
      </w:pP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3486150"/>
                <wp:effectExtent l="0" t="0" r="0" b="0"/>
                <wp:docPr id="48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53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6476999" cy="348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510.00pt;height:274.50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>
        <w:rPr>
          <w:color w:val="000000"/>
        </w:rPr>
      </w:r>
    </w:p>
    <w:p>
      <w:pPr>
        <w:pStyle w:val="959"/>
        <w:jc w:val="center"/>
      </w:pPr>
      <w:r/>
      <w:bookmarkStart w:id="73" w:name="_Ref51103671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45</w:t>
      </w:r>
      <w:r>
        <w:rPr>
          <w:b w:val="0"/>
          <w:bCs w:val="0"/>
          <w:sz w:val="28"/>
          <w:szCs w:val="28"/>
        </w:rPr>
        <w:fldChar w:fldCharType="end"/>
      </w:r>
      <w:bookmarkEnd w:id="73"/>
      <w:r>
        <w:rPr>
          <w:b w:val="0"/>
          <w:bCs w:val="0"/>
          <w:sz w:val="28"/>
          <w:szCs w:val="28"/>
        </w:rPr>
        <w:t xml:space="preserve"> – Вид ответа от ЕИС для отображения действия для выгрузки структурированного проекта контракта</w:t>
      </w:r>
      <w:r/>
    </w:p>
    <w:p>
      <w:pPr>
        <w:rPr>
          <w:color w:val="000000"/>
        </w:rPr>
      </w:pPr>
      <w:r>
        <w:rPr>
          <w:color w:val="000000"/>
        </w:rPr>
        <w:t xml:space="preserve">В </w:t>
      </w:r>
      <w:r>
        <w:t xml:space="preserve">личном кабинете ЕИС пользователь направляет проект контракта на размещение. После размещения проекта контракта в ЕИС, проект контракта в ГИСЗ НСО </w:t>
      </w:r>
      <w:r>
        <w:rPr>
          <w:color w:val="000000"/>
        </w:rPr>
        <w:t xml:space="preserve">автоматически переходит в состояние </w:t>
      </w:r>
      <w:r>
        <w:t xml:space="preserve">«Опубликован» после передачи данных со стороны ЕИС о факте публикации</w:t>
      </w:r>
      <w:r>
        <w:rPr>
          <w:color w:val="000000"/>
        </w:rPr>
        <w:t xml:space="preserve">.</w:t>
      </w:r>
      <w:r>
        <w:rPr>
          <w:color w:val="000000"/>
        </w:rPr>
      </w:r>
    </w:p>
    <w:p>
      <w:pPr>
        <w:pStyle w:val="760"/>
        <w:ind w:hanging="9"/>
        <w:tabs>
          <w:tab w:val="left" w:pos="1418" w:leader="none"/>
        </w:tabs>
      </w:pPr>
      <w:r/>
      <w:bookmarkStart w:id="74" w:name="_Toc21"/>
      <w:r>
        <w:rPr>
          <w:szCs w:val="28"/>
        </w:rPr>
        <w:t xml:space="preserve">Выполнение операции «Формирование новой редакции документа»</w:t>
      </w:r>
      <w:bookmarkEnd w:id="74"/>
      <w:r/>
      <w:r/>
    </w:p>
    <w:p>
      <w:r>
        <w:t xml:space="preserve">Новая редакция проекта контракта формируется в случае, если поставщик сформировал протокол разногласий.</w:t>
      </w:r>
      <w:r/>
    </w:p>
    <w:p>
      <w:r>
        <w:t xml:space="preserve">Если по проекту к</w:t>
      </w:r>
      <w:r>
        <w:t xml:space="preserve">онтракта получен протокол разногласий от поставщика, то прежде чем формировать новую редакцию, необходимо в опубликованной версии документа в поле «Статус документа» выбрать значение «Получен протокол разногласий», после нажмите на кнопку «Сохранить»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_Ref511036717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46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505" cy="2362200"/>
                <wp:effectExtent l="0" t="0" r="0" b="0"/>
                <wp:docPr id="49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1947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5753504" cy="2362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53.03pt;height:186.00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75" w:name="_Ref51103671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46</w:t>
      </w:r>
      <w:r>
        <w:rPr>
          <w:b w:val="0"/>
          <w:bCs w:val="0"/>
          <w:sz w:val="28"/>
          <w:szCs w:val="28"/>
        </w:rPr>
        <w:fldChar w:fldCharType="end"/>
      </w:r>
      <w:bookmarkEnd w:id="75"/>
      <w:r>
        <w:rPr>
          <w:b w:val="0"/>
          <w:bCs w:val="0"/>
          <w:sz w:val="28"/>
          <w:szCs w:val="28"/>
        </w:rPr>
        <w:t xml:space="preserve"> – Смена статуса документа на «Получен протокол разногласий»</w:t>
      </w:r>
      <w:r/>
    </w:p>
    <w:p>
      <w:r>
        <w:t xml:space="preserve">На панели инструментов нажмите кнопку «Операции» и выберите операцию «Формирование новой редакции документа»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_Ref511036718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47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1238250"/>
                <wp:effectExtent l="0" t="0" r="0" b="0"/>
                <wp:docPr id="50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41958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972175" cy="1238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70.25pt;height:97.50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/>
      <w:bookmarkStart w:id="76" w:name="_Ref51103671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47</w:t>
      </w:r>
      <w:r>
        <w:rPr>
          <w:b w:val="0"/>
          <w:bCs w:val="0"/>
          <w:sz w:val="28"/>
          <w:szCs w:val="28"/>
        </w:rPr>
        <w:fldChar w:fldCharType="end"/>
      </w:r>
      <w:bookmarkEnd w:id="76"/>
      <w:r>
        <w:rPr>
          <w:b w:val="0"/>
          <w:bCs w:val="0"/>
          <w:sz w:val="28"/>
          <w:szCs w:val="28"/>
        </w:rPr>
        <w:t xml:space="preserve"> – Переход к операции «Формирование новой редакции документа»</w:t>
      </w:r>
      <w:r>
        <w:rPr>
          <w:b w:val="0"/>
          <w:bCs w:val="0"/>
          <w:sz w:val="28"/>
          <w:szCs w:val="28"/>
        </w:rPr>
      </w:r>
    </w:p>
    <w:p>
      <w:r>
        <w:t xml:space="preserve">В открывшейся форме выберите проект контракта, для которого необходимо создать новую редакцию и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_Ref511036719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48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345436"/>
                <wp:effectExtent l="0" t="0" r="0" b="0"/>
                <wp:docPr id="51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99906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6480174" cy="2345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510.25pt;height:184.68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/>
      <w:bookmarkStart w:id="77" w:name="_Ref51103671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48</w:t>
      </w:r>
      <w:r>
        <w:rPr>
          <w:b w:val="0"/>
          <w:bCs w:val="0"/>
          <w:sz w:val="28"/>
          <w:szCs w:val="28"/>
        </w:rPr>
        <w:fldChar w:fldCharType="end"/>
      </w:r>
      <w:bookmarkEnd w:id="77"/>
      <w:r>
        <w:rPr>
          <w:b w:val="0"/>
          <w:bCs w:val="0"/>
          <w:sz w:val="28"/>
          <w:szCs w:val="28"/>
        </w:rPr>
        <w:t xml:space="preserve"> – Выполнение операции «Формирование новой редакции документа»</w:t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операции сформируется новая редакция проекта контракта.</w:t>
      </w:r>
      <w:r/>
    </w:p>
    <w:p>
      <w:r>
        <w:t xml:space="preserve">Внесите необходимые изменения и выгрузите новую редакцию проекта контракта в ЕИС согласно п. </w:t>
      </w:r>
      <w:r>
        <w:fldChar w:fldCharType="begin"/>
      </w:r>
      <w:r>
        <w:instrText xml:space="preserve"> REF _Ref511036716 \r  \h</w:instrText>
      </w:r>
      <w:r>
        <w:fldChar w:fldCharType="separate"/>
      </w:r>
      <w:r>
        <w:t xml:space="preserve">2.17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_Ref513789826 \r  \h</w:instrText>
      </w:r>
      <w:r>
        <w:fldChar w:fldCharType="separate"/>
      </w:r>
      <w:r>
        <w:t xml:space="preserve">2.18</w:t>
      </w:r>
      <w:r>
        <w:fldChar w:fldCharType="end"/>
      </w:r>
      <w:r>
        <w:t xml:space="preserve"> настоящей Инструкции.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78" w:name="_Toc22"/>
      <w:r>
        <w:rPr>
          <w:szCs w:val="28"/>
        </w:rPr>
        <w:t xml:space="preserve">Выполнение операции «Формирование изменения документа»</w:t>
      </w:r>
      <w:bookmarkEnd w:id="78"/>
      <w:r/>
      <w:r/>
    </w:p>
    <w:p>
      <w:r>
        <w:t xml:space="preserve">В случае, если проект контракта с единственным поставщиком (подрядчиком, исполнителем) </w:t>
      </w:r>
      <w:r>
        <w:t xml:space="preserve">был размещен в структурированном виде в ЕИС, посредством выгрузки из ГИСЗ НСО, и по данному контракту подписывается соглашение об изменении контракта, то внесите изменения в опубликованный проект контракта через операцию «Формирование изменения документа».</w:t>
      </w:r>
      <w:r/>
    </w:p>
    <w:p>
      <w:r>
        <w:t xml:space="preserve">В новой версии проекта контракта в состоянии «Редактируется (изменение)» внесите необходимые изменения в соответствии с соглашением об изменении контракта.</w:t>
      </w:r>
      <w:r/>
    </w:p>
    <w:p>
      <w:r>
        <w:t xml:space="preserve">Заполните раздел «Обоснование внесения изменений», выберите необходимое основание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_Ref513789822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49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368797"/>
                <wp:effectExtent l="0" t="0" r="0" b="0"/>
                <wp:docPr id="52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87444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6480174" cy="1368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510.25pt;height:107.78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79" w:name="_Ref51378982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49</w:t>
      </w:r>
      <w:r>
        <w:rPr>
          <w:b w:val="0"/>
          <w:bCs w:val="0"/>
          <w:sz w:val="28"/>
          <w:szCs w:val="28"/>
        </w:rPr>
        <w:fldChar w:fldCharType="end"/>
      </w:r>
      <w:bookmarkEnd w:id="79"/>
      <w:r>
        <w:rPr>
          <w:b w:val="0"/>
          <w:bCs w:val="0"/>
          <w:sz w:val="28"/>
          <w:szCs w:val="28"/>
        </w:rPr>
        <w:t xml:space="preserve"> – Раздел «Обоснование внесения изменений»</w:t>
      </w:r>
      <w:r/>
    </w:p>
    <w:p>
      <w:r>
        <w:t xml:space="preserve">Заполните раздел «Основания внесения изменений», создав запись с помощью кнопки «Операции» - «Создать»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_Ref513789823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50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069264"/>
                <wp:effectExtent l="0" t="0" r="0" b="0"/>
                <wp:docPr id="53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79230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6480174" cy="1069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510.25pt;height:84.19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/>
      <w:bookmarkStart w:id="80" w:name="_Ref51378982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50</w:t>
      </w:r>
      <w:r>
        <w:rPr>
          <w:b w:val="0"/>
          <w:bCs w:val="0"/>
          <w:sz w:val="28"/>
          <w:szCs w:val="28"/>
        </w:rPr>
        <w:fldChar w:fldCharType="end"/>
      </w:r>
      <w:bookmarkEnd w:id="80"/>
      <w:r>
        <w:rPr>
          <w:b w:val="0"/>
          <w:bCs w:val="0"/>
          <w:sz w:val="28"/>
          <w:szCs w:val="28"/>
        </w:rPr>
        <w:t xml:space="preserve"> – Формирование записи в разделе «Основания внесения изменений»</w:t>
      </w:r>
      <w:r>
        <w:rPr>
          <w:b w:val="0"/>
          <w:bCs w:val="0"/>
          <w:sz w:val="28"/>
          <w:szCs w:val="28"/>
        </w:rPr>
      </w:r>
    </w:p>
    <w:p>
      <w:r>
        <w:t xml:space="preserve">В сформированной записи заполните необходимые поля и нажмите кнопку «Сохранить», далее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_Ref513789824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51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40087"/>
                <wp:effectExtent l="0" t="0" r="0" b="0"/>
                <wp:docPr id="54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20184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480174" cy="3240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510.25pt;height:255.12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81" w:name="_Ref51378982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51</w:t>
      </w:r>
      <w:r>
        <w:rPr>
          <w:b w:val="0"/>
          <w:bCs w:val="0"/>
          <w:sz w:val="28"/>
          <w:szCs w:val="28"/>
        </w:rPr>
        <w:fldChar w:fldCharType="end"/>
      </w:r>
      <w:bookmarkEnd w:id="81"/>
      <w:r>
        <w:rPr>
          <w:b w:val="0"/>
          <w:bCs w:val="0"/>
          <w:sz w:val="28"/>
          <w:szCs w:val="28"/>
        </w:rPr>
        <w:t xml:space="preserve"> – Заполнение записи в разделе «Основания внесения изменений»</w:t>
      </w:r>
      <w:r/>
    </w:p>
    <w:p>
      <w:r>
        <w:t xml:space="preserve">В поле «Причина изменений условий контракта» выберите значение из справочника.</w:t>
      </w:r>
      <w:r/>
    </w:p>
    <w:p>
      <w:r>
        <w:t xml:space="preserve">В поле «Документ-основание изменения контракта» выберите значение из справочника. </w:t>
      </w:r>
      <w:r/>
    </w:p>
    <w:p>
      <w:r>
        <w:t xml:space="preserve">В поле «Дата документа-основания изменения контракта» введите значение с клавиатуры или выберите из календаря.</w:t>
      </w:r>
      <w:r/>
    </w:p>
    <w:p>
      <w:r>
        <w:t xml:space="preserve">В поле «Номер документа-основания изменения контракта» введите значение с клавиатуры.</w:t>
      </w:r>
      <w:r/>
    </w:p>
    <w:p>
      <w:r>
        <w:t xml:space="preserve">В разделе «Вложения» приложите вложение соглашения об изменении контракта с помощью кнопки «Операции» - «Приложить файл»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_Ref513789825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52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110164"/>
                <wp:effectExtent l="0" t="0" r="0" b="0"/>
                <wp:docPr id="55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8537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480174" cy="1110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510.25pt;height:87.41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82" w:name="_Ref51378982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52</w:t>
      </w:r>
      <w:r>
        <w:rPr>
          <w:b w:val="0"/>
          <w:bCs w:val="0"/>
          <w:sz w:val="28"/>
          <w:szCs w:val="28"/>
        </w:rPr>
        <w:fldChar w:fldCharType="end"/>
      </w:r>
      <w:bookmarkEnd w:id="82"/>
      <w:r>
        <w:rPr>
          <w:b w:val="0"/>
          <w:bCs w:val="0"/>
          <w:sz w:val="28"/>
          <w:szCs w:val="28"/>
        </w:rPr>
        <w:t xml:space="preserve"> – Раздел «Вложения»</w:t>
      </w:r>
      <w:r/>
    </w:p>
    <w:p>
      <w:r>
        <w:t xml:space="preserve">После внесения необходимых изменений, выгрузите новую редакцию проекта контракта в ЕИС согласно п. </w:t>
      </w:r>
      <w:r>
        <w:fldChar w:fldCharType="begin"/>
      </w:r>
      <w:r>
        <w:instrText xml:space="preserve"> REF _Ref511036716 \r  \h</w:instrText>
      </w:r>
      <w:r>
        <w:fldChar w:fldCharType="separate"/>
      </w:r>
      <w:r>
        <w:t xml:space="preserve">2.17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_Ref513789826 \r  \h</w:instrText>
      </w:r>
      <w:r>
        <w:fldChar w:fldCharType="separate"/>
      </w:r>
      <w:r>
        <w:t xml:space="preserve">2.18</w:t>
      </w:r>
      <w:r>
        <w:fldChar w:fldCharType="end"/>
      </w:r>
      <w:r>
        <w:t xml:space="preserve"> настоящей Инструкции.</w:t>
      </w:r>
      <w:r/>
    </w:p>
    <w:p>
      <w:pPr>
        <w:pStyle w:val="760"/>
        <w:ind w:hanging="9"/>
        <w:tabs>
          <w:tab w:val="left" w:pos="1418" w:leader="none"/>
        </w:tabs>
      </w:pPr>
      <w:r/>
      <w:bookmarkStart w:id="83" w:name="_Toc23"/>
      <w:r>
        <w:rPr>
          <w:szCs w:val="28"/>
        </w:rPr>
        <w:t xml:space="preserve">Выполнение операции «Формирование расторжения контракта»</w:t>
      </w:r>
      <w:bookmarkEnd w:id="83"/>
      <w:r/>
      <w:r/>
    </w:p>
    <w:p>
      <w:r>
        <w:t xml:space="preserve">В случае, если проект контракта с единственным поставщиком (подрядчиком, исполнителем) был разм</w:t>
      </w:r>
      <w:r>
        <w:t xml:space="preserve">ещен в структурированном виде в ЕИС, посредством выгрузки из ГИСЗ НСО, и по данному контракту подписывается соглашение о расторжении контракта, то внесите изменения в опубликованный проект контракта через операцию «Формирование расторжения контракта»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_Ref513789827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53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2406" cy="1936477"/>
                <wp:effectExtent l="0" t="0" r="0" b="0"/>
                <wp:docPr id="56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06894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5372406" cy="19364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423.02pt;height:152.48pt;mso-wrap-distance-left:0.00pt;mso-wrap-distance-top:0.00pt;mso-wrap-distance-right:0.00pt;mso-wrap-distance-bottom:0.00pt;" stroked="false">
                <v:path textboxrect="0,0,0,0"/>
                <v:imagedata r:id="rId71" o:title=""/>
              </v:shape>
            </w:pict>
          </mc:Fallback>
        </mc:AlternateContent>
      </w:r>
      <w:r>
        <w:t xml:space="preserve"> </w: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/>
      <w:bookmarkStart w:id="84" w:name="_Ref51378982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53</w:t>
      </w:r>
      <w:r>
        <w:rPr>
          <w:b w:val="0"/>
          <w:bCs w:val="0"/>
          <w:sz w:val="28"/>
          <w:szCs w:val="28"/>
        </w:rPr>
        <w:fldChar w:fldCharType="end"/>
      </w:r>
      <w:bookmarkEnd w:id="84"/>
      <w:r>
        <w:rPr>
          <w:b w:val="0"/>
          <w:bCs w:val="0"/>
          <w:sz w:val="28"/>
          <w:szCs w:val="28"/>
        </w:rPr>
        <w:t xml:space="preserve"> – Выполнение операции «Формирование расторжения контракта»</w:t>
      </w:r>
      <w:r>
        <w:rPr>
          <w:b w:val="0"/>
          <w:bCs w:val="0"/>
          <w:sz w:val="28"/>
          <w:szCs w:val="28"/>
        </w:rPr>
      </w:r>
    </w:p>
    <w:p>
      <w:r/>
      <w:r/>
    </w:p>
    <w:p>
      <w:r>
        <w:t xml:space="preserve">В открывшемся окне заполните обязательные поля, отмеченные значком «*», и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_Ref513789828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54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525034"/>
                <wp:effectExtent l="0" t="0" r="0" b="0"/>
                <wp:docPr id="57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1540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6480174" cy="2525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510.25pt;height:198.82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959"/>
        <w:jc w:val="center"/>
        <w:rPr>
          <w:b w:val="0"/>
          <w:bCs w:val="0"/>
          <w:sz w:val="28"/>
          <w:szCs w:val="28"/>
        </w:rPr>
      </w:pPr>
      <w:r/>
      <w:bookmarkStart w:id="85" w:name="_Ref51378982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54</w:t>
      </w:r>
      <w:r>
        <w:rPr>
          <w:b w:val="0"/>
          <w:bCs w:val="0"/>
          <w:sz w:val="28"/>
          <w:szCs w:val="28"/>
        </w:rPr>
        <w:fldChar w:fldCharType="end"/>
      </w:r>
      <w:bookmarkEnd w:id="85"/>
      <w:r>
        <w:rPr>
          <w:b w:val="0"/>
          <w:bCs w:val="0"/>
          <w:sz w:val="28"/>
          <w:szCs w:val="28"/>
        </w:rPr>
        <w:t xml:space="preserve"> – Заполнение полей после выполнения операции «Формирование расторжения контракта»</w:t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операции поле «Расторжение контракта» в общей информации заполняется значением «Да».</w:t>
      </w:r>
      <w:r/>
    </w:p>
    <w:p>
      <w:r>
        <w:t xml:space="preserve">Поля «Основание расторжения контракта», «Причина расторжения контракта», «Дата расторжения контракта» в общей информации заполняются значением одноименных полей, указанных при выполнении операции «Формирование расторжения контракта».</w:t>
      </w:r>
      <w:r/>
    </w:p>
    <w:p>
      <w:r>
        <w:t xml:space="preserve">В разделе «Вложения» приложите необходимый документ о расторжении (см. </w:t>
      </w:r>
      <w:r>
        <w:fldChar w:fldCharType="begin"/>
      </w:r>
      <w:r>
        <w:instrText xml:space="preserve"> REF _Ref513789829  \h</w:instrText>
      </w:r>
      <w:r>
        <w:fldChar w:fldCharType="separate"/>
      </w:r>
      <w:r>
        <w:rPr>
          <w:b/>
          <w:bCs/>
        </w:rPr>
        <w:t xml:space="preserve">Рисунок 55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8385" cy="2244673"/>
                <wp:effectExtent l="0" t="0" r="0" b="0"/>
                <wp:docPr id="58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017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5948384" cy="2244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68.38pt;height:176.75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959"/>
        <w:jc w:val="center"/>
      </w:pPr>
      <w:r/>
      <w:bookmarkStart w:id="86" w:name="_Ref51378982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55</w:t>
      </w:r>
      <w:r>
        <w:rPr>
          <w:b w:val="0"/>
          <w:bCs w:val="0"/>
          <w:sz w:val="28"/>
          <w:szCs w:val="28"/>
        </w:rPr>
        <w:fldChar w:fldCharType="end"/>
      </w:r>
      <w:bookmarkEnd w:id="86"/>
      <w:r>
        <w:rPr>
          <w:b w:val="0"/>
          <w:bCs w:val="0"/>
          <w:sz w:val="28"/>
          <w:szCs w:val="28"/>
        </w:rPr>
        <w:t xml:space="preserve"> – Раздел «Вложения»</w:t>
      </w:r>
      <w:r/>
    </w:p>
    <w:p>
      <w:r>
        <w:t xml:space="preserve">После внесения необходимых изменений, выгрузите новую редакцию проекта контракта в ЕИС согласно п. </w:t>
      </w:r>
      <w:r>
        <w:fldChar w:fldCharType="begin"/>
      </w:r>
      <w:r>
        <w:instrText xml:space="preserve"> REF _Ref511036716 \r  \h</w:instrText>
      </w:r>
      <w:r>
        <w:fldChar w:fldCharType="separate"/>
      </w:r>
      <w:r>
        <w:t xml:space="preserve">2.17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_Ref513789826 \r  \h</w:instrText>
      </w:r>
      <w:r>
        <w:fldChar w:fldCharType="separate"/>
      </w:r>
      <w:r>
        <w:t xml:space="preserve">2.18</w:t>
      </w:r>
      <w:r>
        <w:fldChar w:fldCharType="end"/>
      </w:r>
      <w:r>
        <w:t xml:space="preserve"> настоящей Инструкции.</w:t>
      </w:r>
      <w:r/>
    </w:p>
    <w:p>
      <w:pPr>
        <w:pStyle w:val="760"/>
        <w:ind w:hanging="9"/>
        <w:tabs>
          <w:tab w:val="left" w:pos="1418" w:leader="none"/>
        </w:tabs>
        <w:rPr>
          <w:szCs w:val="28"/>
        </w:rPr>
      </w:pPr>
      <w:r/>
      <w:bookmarkStart w:id="87" w:name="_Toc24"/>
      <w:r>
        <w:rPr>
          <w:szCs w:val="28"/>
        </w:rPr>
        <w:t xml:space="preserve">Отмена процедуры заключения контракта</w:t>
      </w:r>
      <w:bookmarkEnd w:id="87"/>
      <w:r/>
      <w:r>
        <w:rPr>
          <w:szCs w:val="28"/>
        </w:rPr>
      </w:r>
    </w:p>
    <w:p>
      <w:r>
        <w:t xml:space="preserve">В случае, если необходимо о</w:t>
      </w:r>
      <w:r>
        <w:t xml:space="preserve">тменить процедуру заключения контракта, то внесите изменения в опубликованный проект контракта через операцию «Формирование изменения документа».  Для выполнения операции в поле «Статус документа» в проекте контракта следует установить значение «Подписан».</w:t>
      </w:r>
      <w:r/>
    </w:p>
    <w:p>
      <w:r>
        <w:t xml:space="preserve">В новой версии проекта контракта в поле «Отмена процедуры заключения контракта» раздела «Общая информация о проекте контракта» из выпадающего списка выберите значение «Да»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_Ref511036713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56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967"/>
        <w:keepNext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71745" cy="361315"/>
                <wp:effectExtent l="0" t="0" r="0" b="0"/>
                <wp:docPr id="5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2112139" name="Picture 2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5071743" cy="361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399.35pt;height:28.45pt;mso-wrap-distance-left:0.00pt;mso-wrap-distance-top:0.00pt;mso-wrap-distance-right:0.00pt;mso-wrap-distance-bottom:0.00pt;" stroked="f">
                <v:path textboxrect="0,0,0,0"/>
                <v:imagedata r:id="rId74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967"/>
        <w:spacing w:before="0" w:after="0" w:line="360" w:lineRule="auto"/>
        <w:rPr>
          <w:sz w:val="28"/>
          <w:szCs w:val="28"/>
        </w:rPr>
      </w:pPr>
      <w:r/>
      <w:bookmarkStart w:id="88" w:name="_Ref51103671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56</w:t>
      </w:r>
      <w:r>
        <w:rPr>
          <w:sz w:val="28"/>
          <w:szCs w:val="28"/>
        </w:rPr>
        <w:fldChar w:fldCharType="end"/>
      </w:r>
      <w:bookmarkEnd w:id="88"/>
      <w:r>
        <w:rPr>
          <w:sz w:val="28"/>
          <w:szCs w:val="28"/>
        </w:rPr>
        <w:t xml:space="preserve"> – Поле «Отмена процедуры заключения контракта»</w:t>
      </w:r>
      <w:r>
        <w:rPr>
          <w:sz w:val="28"/>
          <w:szCs w:val="28"/>
        </w:rPr>
      </w:r>
    </w:p>
    <w:p>
      <w:r/>
      <w:r/>
    </w:p>
    <w:p>
      <w:r>
        <w:t xml:space="preserve">Заполните раздел «Обоснование внесения изменений», выберите необходимое основание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_Ref511036714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57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967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5890" cy="1445895"/>
                <wp:effectExtent l="0" t="0" r="0" b="0"/>
                <wp:docPr id="6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6974394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6485888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510.70pt;height:113.85pt;mso-wrap-distance-left:0.00pt;mso-wrap-distance-top:0.00pt;mso-wrap-distance-right:0.00pt;mso-wrap-distance-bottom:0.00pt;" stroked="f">
                <v:path textboxrect="0,0,0,0"/>
                <v:imagedata r:id="rId75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967"/>
        <w:spacing w:before="0" w:after="0" w:line="360" w:lineRule="auto"/>
        <w:rPr>
          <w:sz w:val="28"/>
          <w:szCs w:val="28"/>
        </w:rPr>
      </w:pPr>
      <w:r/>
      <w:bookmarkStart w:id="89" w:name="_Ref51103671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57</w:t>
      </w:r>
      <w:r>
        <w:rPr>
          <w:sz w:val="28"/>
          <w:szCs w:val="28"/>
        </w:rPr>
        <w:fldChar w:fldCharType="end"/>
      </w:r>
      <w:bookmarkEnd w:id="89"/>
      <w:r>
        <w:rPr>
          <w:sz w:val="28"/>
          <w:szCs w:val="28"/>
        </w:rPr>
        <w:t xml:space="preserve"> – Раздел «Обоснование внесения изменений»</w:t>
      </w:r>
      <w:r>
        <w:rPr>
          <w:sz w:val="28"/>
          <w:szCs w:val="28"/>
        </w:rPr>
      </w:r>
    </w:p>
    <w:p>
      <w:pPr>
        <w:pStyle w:val="967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w:t xml:space="preserve">После заполнения необходимой информации отправьте проект контракта в ЕИС. Для этого переведите его в состояние «На размещении».</w:t>
      </w:r>
      <w:r/>
    </w:p>
    <w:p>
      <w:pPr>
        <w:rPr>
          <w:bCs/>
        </w:rPr>
      </w:pPr>
      <w:r>
        <w:t xml:space="preserve">Выполните соответствующее действие панели команд записи реестра документов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_Ref511036721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58</w:t>
      </w:r>
      <w:r>
        <w:rPr>
          <w:b/>
          <w:bCs/>
        </w:rPr>
        <w:fldChar w:fldCharType="end"/>
      </w:r>
      <w:r>
        <w:t xml:space="preserve">).</w:t>
      </w:r>
      <w:r>
        <w:rPr>
          <w:bCs/>
        </w:rPr>
      </w:r>
    </w:p>
    <w:p>
      <w:pPr>
        <w:pStyle w:val="967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28945" cy="1360805"/>
                <wp:effectExtent l="0" t="0" r="0" b="0"/>
                <wp:docPr id="61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4546668" name="Picture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5528943" cy="1360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35.35pt;height:107.15pt;mso-wrap-distance-left:0.00pt;mso-wrap-distance-top:0.00pt;mso-wrap-distance-right:0.00pt;mso-wrap-distance-bottom:0.00pt;" stroked="f">
                <v:path textboxrect="0,0,0,0"/>
                <v:imagedata r:id="rId76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ind w:firstLine="0"/>
        <w:jc w:val="center"/>
      </w:pPr>
      <w:r/>
      <w:bookmarkStart w:id="90" w:name="_Ref51103672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58</w:t>
      </w:r>
      <w:r>
        <w:fldChar w:fldCharType="end"/>
      </w:r>
      <w:bookmarkEnd w:id="90"/>
      <w:r>
        <w:t xml:space="preserve"> </w:t>
      </w:r>
      <w:r>
        <w:rPr>
          <w:rFonts w:ascii="Symbol" w:hAnsi="Symbol" w:eastAsia="Symbol" w:cs="Symbol"/>
        </w:rPr>
        <w:t xml:space="preserve"></w:t>
      </w:r>
      <w:r>
        <w:t xml:space="preserve"> Изменение состояния проекта контракта</w:t>
      </w:r>
      <w:r/>
    </w:p>
    <w:p>
      <w:pPr>
        <w:contextualSpacing w:val="0"/>
        <w:ind w:firstLine="0"/>
        <w:jc w:val="left"/>
        <w:keepLines w:val="0"/>
        <w:spacing w:line="240" w:lineRule="auto"/>
      </w:pPr>
      <w:r>
        <w:br w:type="page" w:clear="all"/>
      </w:r>
      <w:r/>
    </w:p>
    <w:p>
      <w:pPr>
        <w:pStyle w:val="759"/>
        <w:rPr>
          <w:sz w:val="28"/>
        </w:rPr>
      </w:pPr>
      <w:r/>
      <w:bookmarkStart w:id="91" w:name="_Toc25"/>
      <w:r>
        <w:rPr>
          <w:sz w:val="28"/>
        </w:rPr>
        <w:t xml:space="preserve">Загрузка контракта, заключенного в электронном магазине</w:t>
      </w:r>
      <w:bookmarkEnd w:id="91"/>
      <w:r/>
      <w:r>
        <w:rPr>
          <w:sz w:val="28"/>
        </w:rPr>
      </w:r>
    </w:p>
    <w:p>
      <w:pPr>
        <w:pStyle w:val="760"/>
        <w:ind w:firstLine="133"/>
        <w:tabs>
          <w:tab w:val="left" w:pos="1418" w:leader="none"/>
        </w:tabs>
        <w:rPr>
          <w:szCs w:val="28"/>
        </w:rPr>
      </w:pPr>
      <w:r/>
      <w:bookmarkStart w:id="92" w:name="_Toc26"/>
      <w:r>
        <w:rPr>
          <w:szCs w:val="28"/>
        </w:rPr>
        <w:t xml:space="preserve">Выполнение операции «Импорт контракта с «РТС-</w:t>
      </w:r>
      <w:r>
        <w:rPr>
          <w:szCs w:val="28"/>
        </w:rPr>
        <w:t xml:space="preserve">маркет</w:t>
      </w:r>
      <w:r>
        <w:rPr>
          <w:szCs w:val="28"/>
        </w:rPr>
        <w:t xml:space="preserve">»»</w:t>
      </w:r>
      <w:bookmarkEnd w:id="92"/>
      <w:r/>
      <w:r>
        <w:rPr>
          <w:szCs w:val="28"/>
        </w:rPr>
      </w:r>
    </w:p>
    <w:p>
      <w:r>
        <w:t xml:space="preserve">В случае, если контракт был заключен в электронном магазине «РТС-</w:t>
      </w:r>
      <w:r>
        <w:t xml:space="preserve">маркет</w:t>
      </w:r>
      <w:r>
        <w:t xml:space="preserve">» по закупке малого объема, имеется возможность импорта такого контракта.</w:t>
      </w:r>
      <w:r/>
    </w:p>
    <w:p>
      <w:r>
        <w:t xml:space="preserve">Для импорта сведений о контракте необходимо перейти в интерфейс «Проекты контрактов», на панели инструментов нажать на кнопку «Операции» и выбрать операцию «Импорт контракта с «РТС-</w:t>
      </w:r>
      <w:r>
        <w:t xml:space="preserve">маркет</w:t>
      </w:r>
      <w:r>
        <w:t xml:space="preserve">»» (см.</w:t>
      </w:r>
      <w:r>
        <w:rPr>
          <w:b/>
          <w:bCs/>
        </w:rPr>
        <w:t xml:space="preserve"> </w:t>
      </w:r>
      <w:r>
        <w:fldChar w:fldCharType="begin"/>
      </w:r>
      <w:r>
        <w:instrText xml:space="preserve"> REF _Ref513789830  \h</w:instrText>
      </w:r>
      <w:r>
        <w:fldChar w:fldCharType="separate"/>
      </w:r>
      <w:r>
        <w:rPr>
          <w:b/>
          <w:bCs/>
        </w:rPr>
        <w:t xml:space="preserve">Рисунок 59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2076" cy="1966382"/>
                <wp:effectExtent l="0" t="0" r="0" b="0"/>
                <wp:docPr id="6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60246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rcRect l="0" t="7747" r="65738" b="14784"/>
                        <a:stretch/>
                      </pic:blipFill>
                      <pic:spPr bwMode="auto">
                        <a:xfrm>
                          <a:off x="0" y="0"/>
                          <a:ext cx="5870094" cy="1986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57.64pt;height:154.83pt;mso-wrap-distance-left:0.00pt;mso-wrap-distance-top:0.00pt;mso-wrap-distance-right:0.00pt;mso-wrap-distance-bottom:0.00pt;" stroked="f">
                <v:path textboxrect="0,0,0,0"/>
                <v:imagedata r:id="rId77" o:title=""/>
              </v:shape>
            </w:pict>
          </mc:Fallback>
        </mc:AlternateContent>
      </w:r>
      <w:r/>
    </w:p>
    <w:p>
      <w:pPr>
        <w:jc w:val="center"/>
      </w:pPr>
      <w:r/>
      <w:bookmarkStart w:id="93" w:name="_Ref513789830"/>
      <w:r/>
      <w:bookmarkStart w:id="94" w:name="_Ref18621008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59</w:t>
      </w:r>
      <w:r>
        <w:fldChar w:fldCharType="end"/>
      </w:r>
      <w:bookmarkEnd w:id="93"/>
      <w:r>
        <w:t xml:space="preserve"> – Выбор операции «Импорт контракта с «РТС-</w:t>
      </w:r>
      <w:r>
        <w:t xml:space="preserve">маркет</w:t>
      </w:r>
      <w:r>
        <w:t xml:space="preserve">»»</w:t>
      </w:r>
      <w:bookmarkEnd w:id="94"/>
      <w:r/>
      <w:r/>
    </w:p>
    <w:p>
      <w:r>
        <w:t xml:space="preserve">В результате выполненного действия откроется форма операции, в которой необходимо заполнить обязательные поля (отмечены «*») (см.</w:t>
      </w:r>
      <w:r>
        <w:rPr>
          <w:b/>
          <w:bCs/>
        </w:rPr>
        <w:t xml:space="preserve"> </w:t>
      </w:r>
      <w:r>
        <w:fldChar w:fldCharType="begin"/>
      </w:r>
      <w:r>
        <w:instrText xml:space="preserve"> REF _Ref513789831  \h</w:instrText>
      </w:r>
      <w:r>
        <w:fldChar w:fldCharType="separate"/>
      </w:r>
      <w:r>
        <w:rPr>
          <w:b/>
          <w:bCs/>
        </w:rPr>
        <w:t xml:space="preserve">Рисунок 60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47117" cy="1303048"/>
                <wp:effectExtent l="0" t="0" r="0" b="0"/>
                <wp:docPr id="63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08638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6089153" cy="1312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76.15pt;height:102.60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/>
    </w:p>
    <w:p>
      <w:pPr>
        <w:jc w:val="center"/>
      </w:pPr>
      <w:r/>
      <w:bookmarkStart w:id="95" w:name="_Ref51378983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60</w:t>
      </w:r>
      <w:r>
        <w:fldChar w:fldCharType="end"/>
      </w:r>
      <w:bookmarkEnd w:id="95"/>
      <w:r>
        <w:t xml:space="preserve"> – Форма выбора закупки</w:t>
      </w:r>
      <w:r/>
    </w:p>
    <w:p>
      <w:pPr>
        <w:jc w:val="center"/>
      </w:pPr>
      <w:r/>
      <w:r/>
    </w:p>
    <w:p>
      <w:r>
        <w:t xml:space="preserve">Поле «№ закупки» заполняется выбором из справочника. С помощью фильтров имеется возможность поиска закупки, на основании которой необходимо сформировать сведения о контракте. </w:t>
      </w:r>
      <w:r/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</w:p>
    <w:p>
      <w:pPr>
        <w:rPr>
          <w:i/>
          <w:color w:val="7030a0"/>
        </w:rPr>
      </w:pPr>
      <w:r>
        <w:rPr>
          <w:i/>
          <w:color w:val="7030a0"/>
        </w:rPr>
        <w:t xml:space="preserve">Данная операция применима в случае, если у необходимой закупки в электронном магазине «РТС-</w:t>
      </w:r>
      <w:r>
        <w:rPr>
          <w:i/>
          <w:color w:val="7030a0"/>
        </w:rPr>
        <w:t xml:space="preserve">маркет</w:t>
      </w:r>
      <w:r>
        <w:rPr>
          <w:i/>
          <w:color w:val="7030a0"/>
        </w:rPr>
        <w:t xml:space="preserve">» установлен статус «Завершена».</w:t>
      </w:r>
      <w:r>
        <w:rPr>
          <w:i/>
          <w:color w:val="7030a0"/>
        </w:rPr>
      </w:r>
    </w:p>
    <w:p>
      <w:r>
        <w:t xml:space="preserve">После заполнения необходимых полей нажмите кнопку «Применить» в окне операции. В результате выполненных действий будет сформирован проект контракта в состояние «Опубликован», а также сведения о контракте в состоянии «Редактируется».</w:t>
      </w:r>
      <w:r/>
    </w:p>
    <w:p>
      <w:r>
        <w:t xml:space="preserve">В сформированном контракте автоматически будут заполнены поля: дата заключения контракта, номер контракта. Необходимо проверить заполнение всех разделов, в случае необходимости </w:t>
      </w:r>
      <w:r>
        <w:t xml:space="preserve">дозаполнить</w:t>
      </w:r>
      <w:r>
        <w:t xml:space="preserve"> данные. </w:t>
      </w:r>
      <w:r/>
    </w:p>
    <w:p>
      <w:r/>
      <w:r/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</w:p>
    <w:p>
      <w:pPr>
        <w:rPr>
          <w:bCs/>
          <w:i/>
          <w:color w:val="7030a0"/>
        </w:rPr>
      </w:pPr>
      <w:r>
        <w:rPr>
          <w:i/>
          <w:color w:val="7030a0"/>
        </w:rPr>
        <w:t xml:space="preserve">В раздел «Вложения» загружается архив данных из РТС-</w:t>
      </w:r>
      <w:r>
        <w:rPr>
          <w:i/>
          <w:color w:val="7030a0"/>
        </w:rPr>
        <w:t xml:space="preserve">маркет</w:t>
      </w:r>
      <w:r>
        <w:rPr>
          <w:i/>
          <w:color w:val="7030a0"/>
        </w:rPr>
        <w:t xml:space="preserve">, содержащий файл контракта и подписи заказчика и поставщика. На текущий момент дата заключения печатной версии контракта будет отсутствовать. Имеется возможность приложить новую версию файла, имеющую все необходимые данные. </w:t>
      </w:r>
      <w:r>
        <w:rPr>
          <w:bCs/>
          <w:i/>
          <w:color w:val="7030a0"/>
        </w:rPr>
      </w:r>
    </w:p>
    <w:p>
      <w:r/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567" w:bottom="1134" w:left="1134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Wingdings">
    <w:panose1 w:val="05010000000000000000"/>
  </w:font>
  <w:font w:name="Symbol">
    <w:panose1 w:val="05010000000000000000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Cambria">
    <w:panose1 w:val="02040503050406030204"/>
  </w:font>
  <w:font w:name="Times New Roman">
    <w:panose1 w:val="020206030504050203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3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5</w:t>
    </w:r>
    <w:r>
      <w:fldChar w:fldCharType="end"/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3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1"/>
      <w:jc w:val="left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1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2" w:hanging="672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isLgl w:val="false"/>
      <w:suff w:val="tab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)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)%4.%5.%6.%7.%8.%9."/>
      <w:lvlJc w:val="left"/>
      <w:pPr>
        <w:ind w:left="2160" w:hanging="2160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isLgl w:val="false"/>
      <w:suff w:val="tab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pStyle w:val="1006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pStyle w:val="991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2" w:hanging="672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)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)%4.%5.%6.%7.%8.%9."/>
      <w:lvlJc w:val="left"/>
      <w:pPr>
        <w:ind w:left="2160" w:hanging="21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pStyle w:val="989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russianLower"/>
      <w:pStyle w:val="990"/>
      <w:isLgl w:val="false"/>
      <w:suff w:val="tab"/>
      <w:lvlText w:val="%1)"/>
      <w:lvlJc w:val="left"/>
      <w:pPr>
        <w:ind w:left="92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pStyle w:val="929"/>
      <w:isLgl w:val="false"/>
      <w:suff w:val="tab"/>
      <w:lvlText w:val="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6" w:hanging="456"/>
      </w:pPr>
      <w:rPr>
        <w:rFonts w:hint="default"/>
        <w:color w:val="000000"/>
      </w:rPr>
    </w:lvl>
    <w:lvl w:ilvl="1">
      <w:start w:val="2"/>
      <w:numFmt w:val="decimal"/>
      <w:isLgl w:val="false"/>
      <w:suff w:val="tab"/>
      <w:lvlText w:val="%1.%2)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isLgl w:val="false"/>
      <w:suff w:val="tab"/>
      <w:lvlText w:val="%1.%2)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3">
    <w:multiLevelType w:val="hybridMultilevel"/>
    <w:lvl w:ilvl="0">
      <w:start w:val="1"/>
      <w:numFmt w:val="decimal"/>
      <w:pStyle w:val="759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pStyle w:val="760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pStyle w:val="761"/>
      <w:isLgl w:val="false"/>
      <w:suff w:val="tab"/>
      <w:lvlText w:val="%1.%2.%3"/>
      <w:lvlJc w:val="left"/>
      <w:pPr>
        <w:ind w:left="1004" w:hanging="720"/>
      </w:pPr>
    </w:lvl>
    <w:lvl w:ilvl="3">
      <w:start w:val="1"/>
      <w:numFmt w:val="decimal"/>
      <w:pStyle w:val="762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pStyle w:val="763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pStyle w:val="764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pStyle w:val="765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pStyle w:val="766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767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7">
    <w:multiLevelType w:val="hybridMultilevel"/>
    <w:styleLink w:val="984"/>
    <w:lvl w:ilvl="0">
      <w:start w:val="1"/>
      <w:numFmt w:val="russianLower"/>
      <w:pStyle w:val="984"/>
      <w:isLgl w:val="false"/>
      <w:suff w:val="tab"/>
      <w:lvlText w:val="%1)"/>
      <w:lvlJc w:val="left"/>
      <w:pPr>
        <w:ind w:left="360" w:firstLine="349"/>
        <w:tabs>
          <w:tab w:val="num" w:pos="709" w:leader="none"/>
        </w:tabs>
      </w:pPr>
      <w:rPr>
        <w:rFonts w:hint="default" w:ascii="Times New Roman" w:hAnsi="Times New Roman"/>
      </w:rPr>
    </w:lvl>
    <w:lvl w:ilvl="1">
      <w:start w:val="1"/>
      <w:numFmt w:val="decimal"/>
      <w:isLgl w:val="false"/>
      <w:suff w:val="tab"/>
      <w:lvlText w:val="%2)"/>
      <w:lvlJc w:val="left"/>
      <w:pPr>
        <w:ind w:left="709" w:firstLine="357"/>
        <w:tabs>
          <w:tab w:val="num" w:pos="397" w:leader="none"/>
        </w:tabs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multiLevelType w:val="hybridMultilevel"/>
    <w:lvl w:ilvl="0">
      <w:start w:val="2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russianLower"/>
      <w:pStyle w:val="986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9"/>
  </w:num>
  <w:num w:numId="2">
    <w:abstractNumId w:val="13"/>
  </w:num>
  <w:num w:numId="3">
    <w:abstractNumId w:val="19"/>
  </w:num>
  <w:num w:numId="4">
    <w:abstractNumId w:val="7"/>
  </w:num>
  <w:num w:numId="5">
    <w:abstractNumId w:val="8"/>
  </w:num>
  <w:num w:numId="6">
    <w:abstractNumId w:val="5"/>
  </w:num>
  <w:num w:numId="7">
    <w:abstractNumId w:val="17"/>
  </w:num>
  <w:num w:numId="8">
    <w:abstractNumId w:val="2"/>
  </w:num>
  <w:num w:numId="9">
    <w:abstractNumId w:val="10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3"/>
  </w:num>
  <w:num w:numId="13">
    <w:abstractNumId w:val="16"/>
  </w:num>
  <w:num w:numId="14">
    <w:abstractNumId w:val="14"/>
  </w:num>
  <w:num w:numId="15">
    <w:abstractNumId w:val="15"/>
  </w:num>
  <w:num w:numId="16">
    <w:abstractNumId w:val="4"/>
  </w:num>
  <w:num w:numId="17">
    <w:abstractNumId w:val="0"/>
  </w:num>
  <w:num w:numId="18">
    <w:abstractNumId w:val="12"/>
  </w:num>
  <w:num w:numId="19">
    <w:abstractNumId w:val="6"/>
  </w:num>
  <w:num w:numId="20">
    <w:abstractNumId w:val="1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8" w:default="1">
    <w:name w:val="Normal"/>
    <w:qFormat/>
    <w:pPr>
      <w:contextualSpacing/>
      <w:ind w:firstLine="709"/>
      <w:jc w:val="both"/>
      <w:keepLines/>
      <w:spacing w:line="360" w:lineRule="auto"/>
    </w:pPr>
    <w:rPr>
      <w:rFonts w:ascii="Times New Roman" w:hAnsi="Times New Roman" w:eastAsia="Times New Roman"/>
      <w:sz w:val="28"/>
      <w:szCs w:val="28"/>
    </w:rPr>
  </w:style>
  <w:style w:type="paragraph" w:styleId="759">
    <w:name w:val="Heading 1"/>
    <w:basedOn w:val="758"/>
    <w:next w:val="758"/>
    <w:link w:val="934"/>
    <w:qFormat/>
    <w:pPr>
      <w:numPr>
        <w:ilvl w:val="0"/>
        <w:numId w:val="2"/>
      </w:numPr>
      <w:keepNext/>
      <w:spacing w:before="240" w:after="240"/>
      <w:tabs>
        <w:tab w:val="left" w:pos="357" w:leader="none"/>
      </w:tabs>
      <w:outlineLvl w:val="0"/>
    </w:pPr>
    <w:rPr>
      <w:b/>
      <w:bCs/>
      <w:sz w:val="32"/>
    </w:rPr>
  </w:style>
  <w:style w:type="paragraph" w:styleId="760">
    <w:name w:val="Heading 2"/>
    <w:basedOn w:val="758"/>
    <w:next w:val="758"/>
    <w:link w:val="935"/>
    <w:qFormat/>
    <w:pPr>
      <w:numPr>
        <w:ilvl w:val="1"/>
        <w:numId w:val="2"/>
      </w:numPr>
      <w:keepLines w:val="0"/>
      <w:keepNext/>
      <w:spacing w:before="240" w:after="240"/>
      <w:outlineLvl w:val="1"/>
    </w:pPr>
    <w:rPr>
      <w:b/>
      <w:bCs/>
      <w:szCs w:val="26"/>
    </w:rPr>
  </w:style>
  <w:style w:type="paragraph" w:styleId="761">
    <w:name w:val="Heading 3"/>
    <w:basedOn w:val="758"/>
    <w:next w:val="758"/>
    <w:link w:val="936"/>
    <w:qFormat/>
    <w:pPr>
      <w:numPr>
        <w:ilvl w:val="2"/>
        <w:numId w:val="2"/>
      </w:numPr>
      <w:spacing w:before="240" w:after="240"/>
      <w:tabs>
        <w:tab w:val="left" w:pos="357" w:leader="none"/>
      </w:tabs>
      <w:outlineLvl w:val="2"/>
    </w:pPr>
    <w:rPr>
      <w:bCs/>
    </w:rPr>
  </w:style>
  <w:style w:type="paragraph" w:styleId="762">
    <w:name w:val="Heading 4"/>
    <w:basedOn w:val="758"/>
    <w:next w:val="758"/>
    <w:link w:val="933"/>
    <w:qFormat/>
    <w:pPr>
      <w:numPr>
        <w:ilvl w:val="3"/>
        <w:numId w:val="2"/>
      </w:numPr>
      <w:keepNext/>
      <w:spacing w:before="240" w:after="240"/>
      <w:outlineLvl w:val="3"/>
    </w:pPr>
    <w:rPr>
      <w:bCs/>
      <w:iCs/>
    </w:rPr>
  </w:style>
  <w:style w:type="paragraph" w:styleId="763">
    <w:name w:val="Heading 5"/>
    <w:basedOn w:val="758"/>
    <w:next w:val="758"/>
    <w:link w:val="980"/>
    <w:qFormat/>
    <w:pPr>
      <w:numPr>
        <w:ilvl w:val="4"/>
        <w:numId w:val="2"/>
      </w:numPr>
      <w:keepNext/>
      <w:spacing w:before="200"/>
      <w:outlineLvl w:val="4"/>
    </w:pPr>
    <w:rPr>
      <w:rFonts w:ascii="Cambria" w:hAnsi="Cambria"/>
      <w:color w:val="243f60"/>
    </w:rPr>
  </w:style>
  <w:style w:type="paragraph" w:styleId="764">
    <w:name w:val="Heading 6"/>
    <w:basedOn w:val="758"/>
    <w:next w:val="758"/>
    <w:link w:val="955"/>
    <w:qFormat/>
    <w:pPr>
      <w:numPr>
        <w:ilvl w:val="5"/>
        <w:numId w:val="2"/>
      </w:numPr>
      <w:keepNext/>
      <w:spacing w:before="200"/>
      <w:outlineLvl w:val="5"/>
    </w:pPr>
    <w:rPr>
      <w:rFonts w:ascii="Cambria" w:hAnsi="Cambria"/>
      <w:i/>
      <w:iCs/>
      <w:color w:val="243f60"/>
    </w:rPr>
  </w:style>
  <w:style w:type="paragraph" w:styleId="765">
    <w:name w:val="Heading 7"/>
    <w:basedOn w:val="758"/>
    <w:next w:val="758"/>
    <w:link w:val="956"/>
    <w:qFormat/>
    <w:pPr>
      <w:numPr>
        <w:ilvl w:val="6"/>
        <w:numId w:val="2"/>
      </w:numPr>
      <w:keepNext/>
      <w:spacing w:before="200"/>
      <w:outlineLvl w:val="6"/>
    </w:pPr>
    <w:rPr>
      <w:rFonts w:ascii="Cambria" w:hAnsi="Cambria"/>
      <w:i/>
      <w:iCs/>
      <w:color w:val="404040"/>
    </w:rPr>
  </w:style>
  <w:style w:type="paragraph" w:styleId="766">
    <w:name w:val="Heading 8"/>
    <w:basedOn w:val="758"/>
    <w:next w:val="758"/>
    <w:link w:val="957"/>
    <w:qFormat/>
    <w:pPr>
      <w:numPr>
        <w:ilvl w:val="7"/>
        <w:numId w:val="2"/>
      </w:numPr>
      <w:keepNext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767">
    <w:name w:val="Heading 9"/>
    <w:basedOn w:val="758"/>
    <w:next w:val="758"/>
    <w:link w:val="958"/>
    <w:qFormat/>
    <w:pPr>
      <w:numPr>
        <w:ilvl w:val="8"/>
        <w:numId w:val="2"/>
      </w:numPr>
      <w:keepNext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768" w:default="1">
    <w:name w:val="Default Paragraph Font"/>
    <w:uiPriority w:val="1"/>
    <w:semiHidden/>
    <w:unhideWhenUsed/>
  </w:style>
  <w:style w:type="table" w:styleId="76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0" w:default="1">
    <w:name w:val="No List"/>
    <w:uiPriority w:val="99"/>
    <w:semiHidden/>
    <w:unhideWhenUsed/>
  </w:style>
  <w:style w:type="character" w:styleId="771" w:customStyle="1">
    <w:name w:val="Quote Char"/>
    <w:uiPriority w:val="29"/>
    <w:rPr>
      <w:i/>
    </w:rPr>
  </w:style>
  <w:style w:type="character" w:styleId="772" w:customStyle="1">
    <w:name w:val="Intense Quote Char"/>
    <w:uiPriority w:val="30"/>
    <w:rPr>
      <w:i/>
    </w:rPr>
  </w:style>
  <w:style w:type="character" w:styleId="773" w:customStyle="1">
    <w:name w:val="Heading 1 Char"/>
    <w:basedOn w:val="768"/>
    <w:uiPriority w:val="9"/>
    <w:rPr>
      <w:rFonts w:ascii="Arial" w:hAnsi="Arial" w:eastAsia="Arial" w:cs="Arial"/>
      <w:sz w:val="40"/>
      <w:szCs w:val="40"/>
    </w:rPr>
  </w:style>
  <w:style w:type="character" w:styleId="774" w:customStyle="1">
    <w:name w:val="Heading 2 Char"/>
    <w:basedOn w:val="768"/>
    <w:uiPriority w:val="9"/>
    <w:rPr>
      <w:rFonts w:ascii="Arial" w:hAnsi="Arial" w:eastAsia="Arial" w:cs="Arial"/>
      <w:sz w:val="34"/>
    </w:rPr>
  </w:style>
  <w:style w:type="character" w:styleId="775" w:customStyle="1">
    <w:name w:val="Heading 3 Char"/>
    <w:basedOn w:val="768"/>
    <w:uiPriority w:val="9"/>
    <w:rPr>
      <w:rFonts w:ascii="Arial" w:hAnsi="Arial" w:eastAsia="Arial" w:cs="Arial"/>
      <w:sz w:val="30"/>
      <w:szCs w:val="30"/>
    </w:rPr>
  </w:style>
  <w:style w:type="character" w:styleId="776" w:customStyle="1">
    <w:name w:val="Heading 4 Char"/>
    <w:basedOn w:val="768"/>
    <w:uiPriority w:val="9"/>
    <w:rPr>
      <w:rFonts w:ascii="Arial" w:hAnsi="Arial" w:eastAsia="Arial" w:cs="Arial"/>
      <w:b/>
      <w:bCs/>
      <w:sz w:val="26"/>
      <w:szCs w:val="26"/>
    </w:rPr>
  </w:style>
  <w:style w:type="character" w:styleId="777" w:customStyle="1">
    <w:name w:val="Heading 5 Char"/>
    <w:basedOn w:val="768"/>
    <w:uiPriority w:val="9"/>
    <w:rPr>
      <w:rFonts w:ascii="Arial" w:hAnsi="Arial" w:eastAsia="Arial" w:cs="Arial"/>
      <w:b/>
      <w:bCs/>
      <w:sz w:val="24"/>
      <w:szCs w:val="24"/>
    </w:rPr>
  </w:style>
  <w:style w:type="character" w:styleId="778" w:customStyle="1">
    <w:name w:val="Heading 6 Char"/>
    <w:basedOn w:val="768"/>
    <w:uiPriority w:val="9"/>
    <w:rPr>
      <w:rFonts w:ascii="Arial" w:hAnsi="Arial" w:eastAsia="Arial" w:cs="Arial"/>
      <w:b/>
      <w:bCs/>
      <w:sz w:val="22"/>
      <w:szCs w:val="22"/>
    </w:rPr>
  </w:style>
  <w:style w:type="character" w:styleId="779" w:customStyle="1">
    <w:name w:val="Heading 7 Char"/>
    <w:basedOn w:val="76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80" w:customStyle="1">
    <w:name w:val="Heading 8 Char"/>
    <w:basedOn w:val="768"/>
    <w:uiPriority w:val="9"/>
    <w:rPr>
      <w:rFonts w:ascii="Arial" w:hAnsi="Arial" w:eastAsia="Arial" w:cs="Arial"/>
      <w:i/>
      <w:iCs/>
      <w:sz w:val="22"/>
      <w:szCs w:val="22"/>
    </w:rPr>
  </w:style>
  <w:style w:type="character" w:styleId="781" w:customStyle="1">
    <w:name w:val="Heading 9 Char"/>
    <w:basedOn w:val="768"/>
    <w:uiPriority w:val="9"/>
    <w:rPr>
      <w:rFonts w:ascii="Arial" w:hAnsi="Arial" w:eastAsia="Arial" w:cs="Arial"/>
      <w:i/>
      <w:iCs/>
      <w:sz w:val="21"/>
      <w:szCs w:val="21"/>
    </w:rPr>
  </w:style>
  <w:style w:type="paragraph" w:styleId="782">
    <w:name w:val="No Spacing"/>
    <w:uiPriority w:val="1"/>
    <w:qFormat/>
  </w:style>
  <w:style w:type="character" w:styleId="783" w:customStyle="1">
    <w:name w:val="Title Char"/>
    <w:basedOn w:val="768"/>
    <w:uiPriority w:val="10"/>
    <w:rPr>
      <w:sz w:val="48"/>
      <w:szCs w:val="48"/>
    </w:rPr>
  </w:style>
  <w:style w:type="character" w:styleId="784" w:customStyle="1">
    <w:name w:val="Subtitle Char"/>
    <w:basedOn w:val="768"/>
    <w:uiPriority w:val="11"/>
    <w:rPr>
      <w:sz w:val="24"/>
      <w:szCs w:val="24"/>
    </w:rPr>
  </w:style>
  <w:style w:type="paragraph" w:styleId="785">
    <w:name w:val="Quote"/>
    <w:basedOn w:val="758"/>
    <w:next w:val="758"/>
    <w:link w:val="786"/>
    <w:uiPriority w:val="29"/>
    <w:qFormat/>
    <w:pPr>
      <w:ind w:left="720" w:right="720"/>
    </w:pPr>
    <w:rPr>
      <w:i/>
    </w:rPr>
  </w:style>
  <w:style w:type="character" w:styleId="786" w:customStyle="1">
    <w:name w:val="Цитата 2 Знак"/>
    <w:link w:val="785"/>
    <w:uiPriority w:val="29"/>
    <w:rPr>
      <w:i/>
    </w:rPr>
  </w:style>
  <w:style w:type="paragraph" w:styleId="787">
    <w:name w:val="Intense Quote"/>
    <w:basedOn w:val="758"/>
    <w:next w:val="758"/>
    <w:link w:val="78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8" w:customStyle="1">
    <w:name w:val="Выделенная цитата Знак"/>
    <w:link w:val="787"/>
    <w:uiPriority w:val="30"/>
    <w:rPr>
      <w:i/>
    </w:rPr>
  </w:style>
  <w:style w:type="character" w:styleId="789" w:customStyle="1">
    <w:name w:val="Header Char"/>
    <w:basedOn w:val="768"/>
    <w:uiPriority w:val="99"/>
  </w:style>
  <w:style w:type="character" w:styleId="790" w:customStyle="1">
    <w:name w:val="Footer Char"/>
    <w:basedOn w:val="768"/>
    <w:uiPriority w:val="99"/>
  </w:style>
  <w:style w:type="character" w:styleId="791" w:customStyle="1">
    <w:name w:val="Caption Char"/>
    <w:uiPriority w:val="99"/>
  </w:style>
  <w:style w:type="table" w:styleId="792" w:customStyle="1">
    <w:name w:val="Table Grid Light"/>
    <w:basedOn w:val="76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93">
    <w:name w:val="Plain Table 1"/>
    <w:basedOn w:val="76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4">
    <w:name w:val="Plain Table 2"/>
    <w:basedOn w:val="769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5">
    <w:name w:val="Plain Table 3"/>
    <w:basedOn w:val="76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6">
    <w:name w:val="Plain Table 4"/>
    <w:basedOn w:val="76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Plain Table 5"/>
    <w:basedOn w:val="76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8">
    <w:name w:val="Grid Table 1 Light"/>
    <w:basedOn w:val="769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 w:customStyle="1">
    <w:name w:val="Grid Table 1 Light - Accent 1"/>
    <w:basedOn w:val="769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 w:customStyle="1">
    <w:name w:val="Grid Table 1 Light - Accent 2"/>
    <w:basedOn w:val="769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 w:customStyle="1">
    <w:name w:val="Grid Table 1 Light - Accent 3"/>
    <w:basedOn w:val="769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 w:customStyle="1">
    <w:name w:val="Grid Table 1 Light - Accent 4"/>
    <w:basedOn w:val="769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 w:customStyle="1">
    <w:name w:val="Grid Table 1 Light - Accent 5"/>
    <w:basedOn w:val="769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 w:customStyle="1">
    <w:name w:val="Grid Table 1 Light - Accent 6"/>
    <w:basedOn w:val="769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Grid Table 2"/>
    <w:basedOn w:val="76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Grid Table 2 - Accent 1"/>
    <w:basedOn w:val="769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 w:customStyle="1">
    <w:name w:val="Grid Table 2 - Accent 2"/>
    <w:basedOn w:val="769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Grid Table 2 - Accent 3"/>
    <w:basedOn w:val="769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Grid Table 2 - Accent 4"/>
    <w:basedOn w:val="769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Grid Table 2 - Accent 5"/>
    <w:basedOn w:val="769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Grid Table 2 - Accent 6"/>
    <w:basedOn w:val="769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"/>
    <w:basedOn w:val="76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Grid Table 3 - Accent 1"/>
    <w:basedOn w:val="769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Grid Table 3 - Accent 2"/>
    <w:basedOn w:val="769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Grid Table 3 - Accent 3"/>
    <w:basedOn w:val="769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Grid Table 3 - Accent 4"/>
    <w:basedOn w:val="769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Grid Table 3 - Accent 5"/>
    <w:basedOn w:val="769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Grid Table 3 - Accent 6"/>
    <w:basedOn w:val="769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4"/>
    <w:basedOn w:val="769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0" w:customStyle="1">
    <w:name w:val="Grid Table 4 - Accent 1"/>
    <w:basedOn w:val="769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821" w:customStyle="1">
    <w:name w:val="Grid Table 4 - Accent 2"/>
    <w:basedOn w:val="769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22" w:customStyle="1">
    <w:name w:val="Grid Table 4 - Accent 3"/>
    <w:basedOn w:val="769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23" w:customStyle="1">
    <w:name w:val="Grid Table 4 - Accent 4"/>
    <w:basedOn w:val="769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24" w:customStyle="1">
    <w:name w:val="Grid Table 4 - Accent 5"/>
    <w:basedOn w:val="769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25" w:customStyle="1">
    <w:name w:val="Grid Table 4 - Accent 6"/>
    <w:basedOn w:val="769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26">
    <w:name w:val="Grid Table 5 Dark"/>
    <w:basedOn w:val="76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27" w:customStyle="1">
    <w:name w:val="Grid Table 5 Dark- Accent 1"/>
    <w:basedOn w:val="76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828" w:customStyle="1">
    <w:name w:val="Grid Table 5 Dark - Accent 2"/>
    <w:basedOn w:val="76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29" w:customStyle="1">
    <w:name w:val="Grid Table 5 Dark - Accent 3"/>
    <w:basedOn w:val="76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30" w:customStyle="1">
    <w:name w:val="Grid Table 5 Dark- Accent 4"/>
    <w:basedOn w:val="76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31" w:customStyle="1">
    <w:name w:val="Grid Table 5 Dark - Accent 5"/>
    <w:basedOn w:val="76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832" w:customStyle="1">
    <w:name w:val="Grid Table 5 Dark - Accent 6"/>
    <w:basedOn w:val="76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33">
    <w:name w:val="Grid Table 6 Colorful"/>
    <w:basedOn w:val="769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34" w:customStyle="1">
    <w:name w:val="Grid Table 6 Colorful - Accent 1"/>
    <w:basedOn w:val="769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35" w:customStyle="1">
    <w:name w:val="Grid Table 6 Colorful - Accent 2"/>
    <w:basedOn w:val="769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36" w:customStyle="1">
    <w:name w:val="Grid Table 6 Colorful - Accent 3"/>
    <w:basedOn w:val="769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37" w:customStyle="1">
    <w:name w:val="Grid Table 6 Colorful - Accent 4"/>
    <w:basedOn w:val="769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38" w:customStyle="1">
    <w:name w:val="Grid Table 6 Colorful - Accent 5"/>
    <w:basedOn w:val="769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39" w:customStyle="1">
    <w:name w:val="Grid Table 6 Colorful - Accent 6"/>
    <w:basedOn w:val="769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40">
    <w:name w:val="Grid Table 7 Colorful"/>
    <w:basedOn w:val="769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Grid Table 7 Colorful - Accent 1"/>
    <w:basedOn w:val="769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 w:customStyle="1">
    <w:name w:val="Grid Table 7 Colorful - Accent 2"/>
    <w:basedOn w:val="769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 w:customStyle="1">
    <w:name w:val="Grid Table 7 Colorful - Accent 3"/>
    <w:basedOn w:val="769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 w:customStyle="1">
    <w:name w:val="Grid Table 7 Colorful - Accent 4"/>
    <w:basedOn w:val="769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 w:customStyle="1">
    <w:name w:val="Grid Table 7 Colorful - Accent 5"/>
    <w:basedOn w:val="769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 w:customStyle="1">
    <w:name w:val="Grid Table 7 Colorful - Accent 6"/>
    <w:basedOn w:val="769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"/>
    <w:basedOn w:val="769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 w:customStyle="1">
    <w:name w:val="List Table 1 Light - Accent 1"/>
    <w:basedOn w:val="769"/>
    <w:uiPriority w:val="99"/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 w:customStyle="1">
    <w:name w:val="List Table 1 Light - Accent 2"/>
    <w:basedOn w:val="769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List Table 1 Light - Accent 3"/>
    <w:basedOn w:val="769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List Table 1 Light - Accent 4"/>
    <w:basedOn w:val="769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 w:customStyle="1">
    <w:name w:val="List Table 1 Light - Accent 5"/>
    <w:basedOn w:val="769"/>
    <w:uiPriority w:val="99"/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 w:customStyle="1">
    <w:name w:val="List Table 1 Light - Accent 6"/>
    <w:basedOn w:val="769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List Table 2"/>
    <w:basedOn w:val="769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55" w:customStyle="1">
    <w:name w:val="List Table 2 - Accent 1"/>
    <w:basedOn w:val="769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56" w:customStyle="1">
    <w:name w:val="List Table 2 - Accent 2"/>
    <w:basedOn w:val="769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57" w:customStyle="1">
    <w:name w:val="List Table 2 - Accent 3"/>
    <w:basedOn w:val="769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58" w:customStyle="1">
    <w:name w:val="List Table 2 - Accent 4"/>
    <w:basedOn w:val="769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59" w:customStyle="1">
    <w:name w:val="List Table 2 - Accent 5"/>
    <w:basedOn w:val="769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60" w:customStyle="1">
    <w:name w:val="List Table 2 - Accent 6"/>
    <w:basedOn w:val="769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61">
    <w:name w:val="List Table 3"/>
    <w:basedOn w:val="76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 w:customStyle="1">
    <w:name w:val="List Table 3 - Accent 1"/>
    <w:basedOn w:val="769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 w:customStyle="1">
    <w:name w:val="List Table 3 - Accent 2"/>
    <w:basedOn w:val="769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 w:customStyle="1">
    <w:name w:val="List Table 3 - Accent 3"/>
    <w:basedOn w:val="769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 w:customStyle="1">
    <w:name w:val="List Table 3 - Accent 4"/>
    <w:basedOn w:val="769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 w:customStyle="1">
    <w:name w:val="List Table 3 - Accent 5"/>
    <w:basedOn w:val="769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 w:customStyle="1">
    <w:name w:val="List Table 3 - Accent 6"/>
    <w:basedOn w:val="769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"/>
    <w:basedOn w:val="76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 w:customStyle="1">
    <w:name w:val="List Table 4 - Accent 1"/>
    <w:basedOn w:val="769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 w:customStyle="1">
    <w:name w:val="List Table 4 - Accent 2"/>
    <w:basedOn w:val="769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 w:customStyle="1">
    <w:name w:val="List Table 4 - Accent 3"/>
    <w:basedOn w:val="769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 w:customStyle="1">
    <w:name w:val="List Table 4 - Accent 4"/>
    <w:basedOn w:val="769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 w:customStyle="1">
    <w:name w:val="List Table 4 - Accent 5"/>
    <w:basedOn w:val="769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 w:customStyle="1">
    <w:name w:val="List Table 4 - Accent 6"/>
    <w:basedOn w:val="769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List Table 5 Dark"/>
    <w:basedOn w:val="769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6" w:customStyle="1">
    <w:name w:val="List Table 5 Dark - Accent 1"/>
    <w:basedOn w:val="769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7" w:customStyle="1">
    <w:name w:val="List Table 5 Dark - Accent 2"/>
    <w:basedOn w:val="769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8" w:customStyle="1">
    <w:name w:val="List Table 5 Dark - Accent 3"/>
    <w:basedOn w:val="769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9" w:customStyle="1">
    <w:name w:val="List Table 5 Dark - Accent 4"/>
    <w:basedOn w:val="769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0" w:customStyle="1">
    <w:name w:val="List Table 5 Dark - Accent 5"/>
    <w:basedOn w:val="769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1" w:customStyle="1">
    <w:name w:val="List Table 5 Dark - Accent 6"/>
    <w:basedOn w:val="769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2">
    <w:name w:val="List Table 6 Colorful"/>
    <w:basedOn w:val="769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83" w:customStyle="1">
    <w:name w:val="List Table 6 Colorful - Accent 1"/>
    <w:basedOn w:val="769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84" w:customStyle="1">
    <w:name w:val="List Table 6 Colorful - Accent 2"/>
    <w:basedOn w:val="769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85" w:customStyle="1">
    <w:name w:val="List Table 6 Colorful - Accent 3"/>
    <w:basedOn w:val="769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86" w:customStyle="1">
    <w:name w:val="List Table 6 Colorful - Accent 4"/>
    <w:basedOn w:val="769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87" w:customStyle="1">
    <w:name w:val="List Table 6 Colorful - Accent 5"/>
    <w:basedOn w:val="769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88" w:customStyle="1">
    <w:name w:val="List Table 6 Colorful - Accent 6"/>
    <w:basedOn w:val="769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89">
    <w:name w:val="List Table 7 Colorful"/>
    <w:basedOn w:val="769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 w:customStyle="1">
    <w:name w:val="List Table 7 Colorful - Accent 1"/>
    <w:basedOn w:val="769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 w:customStyle="1">
    <w:name w:val="List Table 7 Colorful - Accent 2"/>
    <w:basedOn w:val="769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 w:customStyle="1">
    <w:name w:val="List Table 7 Colorful - Accent 3"/>
    <w:basedOn w:val="769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 w:customStyle="1">
    <w:name w:val="List Table 7 Colorful - Accent 4"/>
    <w:basedOn w:val="769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 w:customStyle="1">
    <w:name w:val="List Table 7 Colorful - Accent 5"/>
    <w:basedOn w:val="769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 w:customStyle="1">
    <w:name w:val="List Table 7 Colorful - Accent 6"/>
    <w:basedOn w:val="769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 w:customStyle="1">
    <w:name w:val="Lined - Accent"/>
    <w:basedOn w:val="76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97" w:customStyle="1">
    <w:name w:val="Lined - Accent 1"/>
    <w:basedOn w:val="76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98" w:customStyle="1">
    <w:name w:val="Lined - Accent 2"/>
    <w:basedOn w:val="76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99" w:customStyle="1">
    <w:name w:val="Lined - Accent 3"/>
    <w:basedOn w:val="76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00" w:customStyle="1">
    <w:name w:val="Lined - Accent 4"/>
    <w:basedOn w:val="76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01" w:customStyle="1">
    <w:name w:val="Lined - Accent 5"/>
    <w:basedOn w:val="76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02" w:customStyle="1">
    <w:name w:val="Lined - Accent 6"/>
    <w:basedOn w:val="76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03" w:customStyle="1">
    <w:name w:val="Bordered &amp; Lined - Accent"/>
    <w:basedOn w:val="769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04" w:customStyle="1">
    <w:name w:val="Bordered &amp; Lined - Accent 1"/>
    <w:basedOn w:val="769"/>
    <w:uiPriority w:val="99"/>
    <w:rPr>
      <w:color w:val="404040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05" w:customStyle="1">
    <w:name w:val="Bordered &amp; Lined - Accent 2"/>
    <w:basedOn w:val="769"/>
    <w:uiPriority w:val="99"/>
    <w:rPr>
      <w:color w:val="40404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06" w:customStyle="1">
    <w:name w:val="Bordered &amp; Lined - Accent 3"/>
    <w:basedOn w:val="769"/>
    <w:uiPriority w:val="99"/>
    <w:rPr>
      <w:color w:val="40404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07" w:customStyle="1">
    <w:name w:val="Bordered &amp; Lined - Accent 4"/>
    <w:basedOn w:val="769"/>
    <w:uiPriority w:val="99"/>
    <w:rPr>
      <w:color w:val="40404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08" w:customStyle="1">
    <w:name w:val="Bordered &amp; Lined - Accent 5"/>
    <w:basedOn w:val="769"/>
    <w:uiPriority w:val="99"/>
    <w:rPr>
      <w:color w:val="404040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09" w:customStyle="1">
    <w:name w:val="Bordered &amp; Lined - Accent 6"/>
    <w:basedOn w:val="769"/>
    <w:uiPriority w:val="99"/>
    <w:rPr>
      <w:color w:val="40404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10" w:customStyle="1">
    <w:name w:val="Bordered"/>
    <w:basedOn w:val="769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11" w:customStyle="1">
    <w:name w:val="Bordered - Accent 1"/>
    <w:basedOn w:val="769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912" w:customStyle="1">
    <w:name w:val="Bordered - Accent 2"/>
    <w:basedOn w:val="769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13" w:customStyle="1">
    <w:name w:val="Bordered - Accent 3"/>
    <w:basedOn w:val="769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14" w:customStyle="1">
    <w:name w:val="Bordered - Accent 4"/>
    <w:basedOn w:val="769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15" w:customStyle="1">
    <w:name w:val="Bordered - Accent 5"/>
    <w:basedOn w:val="769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916" w:customStyle="1">
    <w:name w:val="Bordered - Accent 6"/>
    <w:basedOn w:val="769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917" w:customStyle="1">
    <w:name w:val="Footnote Text Char"/>
    <w:uiPriority w:val="99"/>
    <w:rPr>
      <w:sz w:val="18"/>
    </w:rPr>
  </w:style>
  <w:style w:type="character" w:styleId="918" w:customStyle="1">
    <w:name w:val="Endnote Text Char"/>
    <w:uiPriority w:val="99"/>
    <w:rPr>
      <w:sz w:val="20"/>
    </w:rPr>
  </w:style>
  <w:style w:type="paragraph" w:styleId="919">
    <w:name w:val="Normal (Web)"/>
    <w:basedOn w:val="758"/>
    <w:pPr>
      <w:contextualSpacing w:val="0"/>
      <w:ind w:firstLine="0"/>
      <w:jc w:val="left"/>
      <w:keepLines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920" w:customStyle="1">
    <w:name w:val="right"/>
    <w:basedOn w:val="758"/>
    <w:pPr>
      <w:jc w:val="right"/>
      <w:spacing w:before="100" w:beforeAutospacing="1" w:after="100" w:afterAutospacing="1"/>
    </w:pPr>
  </w:style>
  <w:style w:type="paragraph" w:styleId="921" w:customStyle="1">
    <w:name w:val="center"/>
    <w:basedOn w:val="758"/>
    <w:pPr>
      <w:jc w:val="center"/>
      <w:spacing w:before="100" w:beforeAutospacing="1" w:after="100" w:afterAutospacing="1"/>
    </w:pPr>
  </w:style>
  <w:style w:type="paragraph" w:styleId="922" w:customStyle="1">
    <w:name w:val="insertion"/>
    <w:basedOn w:val="758"/>
    <w:pPr>
      <w:spacing w:before="100" w:beforeAutospacing="1" w:after="100" w:afterAutospacing="1"/>
    </w:pPr>
    <w:rPr>
      <w:color w:val="006600"/>
    </w:rPr>
  </w:style>
  <w:style w:type="paragraph" w:styleId="923" w:customStyle="1">
    <w:name w:val="deletion"/>
    <w:basedOn w:val="758"/>
    <w:pPr>
      <w:spacing w:before="100" w:beforeAutospacing="1" w:after="100" w:afterAutospacing="1"/>
    </w:pPr>
    <w:rPr>
      <w:color w:val="ff0000"/>
    </w:rPr>
  </w:style>
  <w:style w:type="character" w:styleId="924">
    <w:name w:val="Hyperlink"/>
    <w:uiPriority w:val="99"/>
    <w:rPr>
      <w:color w:val="0000ff"/>
      <w:u w:val="single"/>
    </w:rPr>
  </w:style>
  <w:style w:type="character" w:styleId="925">
    <w:name w:val="FollowedHyperlink"/>
    <w:rPr>
      <w:color w:val="800080"/>
      <w:u w:val="single"/>
    </w:rPr>
  </w:style>
  <w:style w:type="character" w:styleId="926">
    <w:name w:val="Strong"/>
    <w:qFormat/>
    <w:rPr>
      <w:b/>
      <w:bCs/>
    </w:rPr>
  </w:style>
  <w:style w:type="character" w:styleId="927">
    <w:name w:val="Emphasis"/>
    <w:qFormat/>
    <w:rPr>
      <w:i/>
      <w:iCs/>
      <w:color w:val="auto"/>
    </w:rPr>
  </w:style>
  <w:style w:type="paragraph" w:styleId="928">
    <w:name w:val="List Bullet"/>
    <w:basedOn w:val="758"/>
    <w:pPr>
      <w:ind w:firstLine="0"/>
    </w:pPr>
  </w:style>
  <w:style w:type="paragraph" w:styleId="929">
    <w:name w:val="List Bullet 2"/>
    <w:basedOn w:val="758"/>
    <w:pPr>
      <w:numPr>
        <w:ilvl w:val="0"/>
        <w:numId w:val="1"/>
      </w:numPr>
      <w:ind w:left="0" w:firstLine="709"/>
    </w:pPr>
    <w:rPr>
      <w:sz w:val="24"/>
    </w:rPr>
  </w:style>
  <w:style w:type="paragraph" w:styleId="930">
    <w:name w:val="List Bullet 3"/>
    <w:basedOn w:val="758"/>
    <w:pPr>
      <w:spacing w:line="240" w:lineRule="auto"/>
      <w:tabs>
        <w:tab w:val="num" w:pos="926" w:leader="none"/>
      </w:tabs>
    </w:pPr>
  </w:style>
  <w:style w:type="paragraph" w:styleId="931">
    <w:name w:val="List Bullet 4"/>
    <w:basedOn w:val="758"/>
    <w:pPr>
      <w:spacing w:line="240" w:lineRule="auto"/>
      <w:tabs>
        <w:tab w:val="num" w:pos="1209" w:leader="none"/>
      </w:tabs>
    </w:pPr>
  </w:style>
  <w:style w:type="paragraph" w:styleId="932">
    <w:name w:val="List Bullet 5"/>
    <w:basedOn w:val="758"/>
    <w:pPr>
      <w:ind w:left="1066" w:firstLine="0"/>
      <w:spacing w:line="240" w:lineRule="auto"/>
      <w:tabs>
        <w:tab w:val="num" w:pos="1492" w:leader="none"/>
      </w:tabs>
    </w:pPr>
  </w:style>
  <w:style w:type="character" w:styleId="933" w:customStyle="1">
    <w:name w:val="Заголовок 4 Знак"/>
    <w:link w:val="762"/>
    <w:rPr>
      <w:rFonts w:ascii="Times New Roman" w:hAnsi="Times New Roman" w:eastAsia="Times New Roman"/>
      <w:bCs/>
      <w:iCs/>
      <w:sz w:val="28"/>
      <w:szCs w:val="28"/>
    </w:rPr>
  </w:style>
  <w:style w:type="character" w:styleId="934" w:customStyle="1">
    <w:name w:val="Заголовок 1 Знак"/>
    <w:link w:val="759"/>
    <w:rPr>
      <w:rFonts w:ascii="Times New Roman" w:hAnsi="Times New Roman" w:eastAsia="Times New Roman"/>
      <w:b/>
      <w:bCs/>
      <w:sz w:val="32"/>
      <w:szCs w:val="28"/>
    </w:rPr>
  </w:style>
  <w:style w:type="character" w:styleId="935" w:customStyle="1">
    <w:name w:val="Заголовок 2 Знак"/>
    <w:link w:val="760"/>
    <w:rPr>
      <w:rFonts w:ascii="Times New Roman" w:hAnsi="Times New Roman" w:eastAsia="Times New Roman"/>
      <w:b/>
      <w:bCs/>
      <w:sz w:val="28"/>
      <w:szCs w:val="26"/>
    </w:rPr>
  </w:style>
  <w:style w:type="character" w:styleId="936" w:customStyle="1">
    <w:name w:val="Заголовок 3 Знак"/>
    <w:link w:val="761"/>
    <w:rPr>
      <w:rFonts w:ascii="Times New Roman" w:hAnsi="Times New Roman" w:eastAsia="Times New Roman"/>
      <w:bCs/>
      <w:sz w:val="28"/>
      <w:szCs w:val="28"/>
    </w:rPr>
  </w:style>
  <w:style w:type="paragraph" w:styleId="937" w:customStyle="1">
    <w:name w:val="computable"/>
    <w:basedOn w:val="758"/>
    <w:pPr>
      <w:shd w:val="clear" w:color="auto" w:fill="c0c0c0"/>
    </w:pPr>
  </w:style>
  <w:style w:type="paragraph" w:styleId="938" w:customStyle="1">
    <w:name w:val="required"/>
    <w:basedOn w:val="758"/>
    <w:pPr>
      <w:shd w:val="clear" w:color="auto" w:fill="ffff80"/>
    </w:pPr>
  </w:style>
  <w:style w:type="paragraph" w:styleId="939" w:customStyle="1">
    <w:name w:val="left"/>
    <w:basedOn w:val="758"/>
  </w:style>
  <w:style w:type="table" w:styleId="940">
    <w:name w:val="Table Grid"/>
    <w:basedOn w:val="76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41">
    <w:name w:val="footnote reference"/>
    <w:rPr>
      <w:vertAlign w:val="superscript"/>
    </w:rPr>
  </w:style>
  <w:style w:type="paragraph" w:styleId="942">
    <w:name w:val="footnote text"/>
    <w:basedOn w:val="758"/>
    <w:link w:val="943"/>
    <w:pPr>
      <w:spacing w:line="240" w:lineRule="auto"/>
    </w:pPr>
    <w:rPr>
      <w:sz w:val="24"/>
      <w:szCs w:val="20"/>
    </w:rPr>
  </w:style>
  <w:style w:type="character" w:styleId="943" w:customStyle="1">
    <w:name w:val="Текст сноски Знак"/>
    <w:link w:val="942"/>
    <w:rPr>
      <w:rFonts w:ascii="Times New Roman" w:hAnsi="Times New Roman" w:eastAsia="Times New Roman" w:cs="Times New Roman"/>
      <w:sz w:val="24"/>
    </w:rPr>
  </w:style>
  <w:style w:type="paragraph" w:styleId="944">
    <w:name w:val="endnote text"/>
    <w:basedOn w:val="758"/>
    <w:link w:val="945"/>
    <w:rPr>
      <w:sz w:val="20"/>
      <w:szCs w:val="20"/>
    </w:rPr>
  </w:style>
  <w:style w:type="character" w:styleId="945" w:customStyle="1">
    <w:name w:val="Текст концевой сноски Знак"/>
    <w:basedOn w:val="768"/>
    <w:link w:val="944"/>
  </w:style>
  <w:style w:type="character" w:styleId="946">
    <w:name w:val="endnote reference"/>
    <w:rPr>
      <w:vertAlign w:val="superscript"/>
    </w:rPr>
  </w:style>
  <w:style w:type="paragraph" w:styleId="947">
    <w:name w:val="Balloon Text"/>
    <w:basedOn w:val="758"/>
    <w:link w:val="948"/>
    <w:pPr>
      <w:spacing w:line="240" w:lineRule="auto"/>
    </w:pPr>
    <w:rPr>
      <w:rFonts w:ascii="Tahoma" w:hAnsi="Tahoma" w:cs="Tahoma"/>
      <w:sz w:val="16"/>
      <w:szCs w:val="16"/>
    </w:rPr>
  </w:style>
  <w:style w:type="character" w:styleId="948" w:customStyle="1">
    <w:name w:val="Текст выноски Знак"/>
    <w:link w:val="947"/>
    <w:rPr>
      <w:rFonts w:ascii="Tahoma" w:hAnsi="Tahoma" w:eastAsia="Times New Roman" w:cs="Tahoma"/>
      <w:sz w:val="16"/>
      <w:szCs w:val="16"/>
    </w:rPr>
  </w:style>
  <w:style w:type="paragraph" w:styleId="949">
    <w:name w:val="HTML Preformatted"/>
    <w:basedOn w:val="758"/>
    <w:link w:val="950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950" w:customStyle="1">
    <w:name w:val="Стандартный HTML Знак"/>
    <w:link w:val="949"/>
    <w:rPr>
      <w:rFonts w:ascii="Courier New" w:hAnsi="Courier New" w:cs="Courier New"/>
    </w:rPr>
  </w:style>
  <w:style w:type="paragraph" w:styleId="951">
    <w:name w:val="Header"/>
    <w:basedOn w:val="758"/>
    <w:link w:val="952"/>
    <w:pPr>
      <w:jc w:val="right"/>
      <w:spacing w:line="240" w:lineRule="auto"/>
      <w:tabs>
        <w:tab w:val="center" w:pos="4677" w:leader="none"/>
        <w:tab w:val="right" w:pos="9355" w:leader="none"/>
      </w:tabs>
    </w:pPr>
    <w:rPr>
      <w:sz w:val="24"/>
    </w:rPr>
  </w:style>
  <w:style w:type="character" w:styleId="952" w:customStyle="1">
    <w:name w:val="Верхний колонтитул Знак"/>
    <w:link w:val="951"/>
    <w:rPr>
      <w:rFonts w:ascii="Times New Roman" w:hAnsi="Times New Roman" w:eastAsia="Times New Roman" w:cs="Times New Roman"/>
      <w:sz w:val="24"/>
      <w:szCs w:val="28"/>
    </w:rPr>
  </w:style>
  <w:style w:type="paragraph" w:styleId="953">
    <w:name w:val="Footer"/>
    <w:basedOn w:val="758"/>
    <w:link w:val="954"/>
    <w:pPr>
      <w:jc w:val="right"/>
      <w:spacing w:line="240" w:lineRule="auto"/>
      <w:tabs>
        <w:tab w:val="center" w:pos="4677" w:leader="none"/>
        <w:tab w:val="right" w:pos="9355" w:leader="none"/>
      </w:tabs>
    </w:pPr>
    <w:rPr>
      <w:sz w:val="24"/>
    </w:rPr>
  </w:style>
  <w:style w:type="character" w:styleId="954" w:customStyle="1">
    <w:name w:val="Нижний колонтитул Знак"/>
    <w:link w:val="953"/>
    <w:rPr>
      <w:rFonts w:ascii="Times New Roman" w:hAnsi="Times New Roman" w:eastAsia="Times New Roman" w:cs="Times New Roman"/>
      <w:sz w:val="24"/>
      <w:szCs w:val="28"/>
    </w:rPr>
  </w:style>
  <w:style w:type="character" w:styleId="955" w:customStyle="1">
    <w:name w:val="Заголовок 6 Знак"/>
    <w:link w:val="764"/>
    <w:rPr>
      <w:rFonts w:ascii="Cambria" w:hAnsi="Cambria" w:eastAsia="Times New Roman"/>
      <w:i/>
      <w:iCs/>
      <w:color w:val="243f60"/>
      <w:sz w:val="28"/>
      <w:szCs w:val="28"/>
    </w:rPr>
  </w:style>
  <w:style w:type="character" w:styleId="956" w:customStyle="1">
    <w:name w:val="Заголовок 7 Знак"/>
    <w:link w:val="765"/>
    <w:rPr>
      <w:rFonts w:ascii="Cambria" w:hAnsi="Cambria" w:eastAsia="Times New Roman"/>
      <w:i/>
      <w:iCs/>
      <w:color w:val="404040"/>
      <w:sz w:val="28"/>
      <w:szCs w:val="28"/>
    </w:rPr>
  </w:style>
  <w:style w:type="character" w:styleId="957" w:customStyle="1">
    <w:name w:val="Заголовок 8 Знак"/>
    <w:link w:val="766"/>
    <w:rPr>
      <w:rFonts w:ascii="Cambria" w:hAnsi="Cambria" w:eastAsia="Times New Roman"/>
      <w:color w:val="404040"/>
    </w:rPr>
  </w:style>
  <w:style w:type="character" w:styleId="958" w:customStyle="1">
    <w:name w:val="Заголовок 9 Знак"/>
    <w:link w:val="767"/>
    <w:rPr>
      <w:rFonts w:ascii="Cambria" w:hAnsi="Cambria" w:eastAsia="Times New Roman"/>
      <w:i/>
      <w:iCs/>
      <w:color w:val="404040"/>
    </w:rPr>
  </w:style>
  <w:style w:type="paragraph" w:styleId="959">
    <w:name w:val="Caption"/>
    <w:basedOn w:val="758"/>
    <w:next w:val="758"/>
    <w:qFormat/>
    <w:rPr>
      <w:b/>
      <w:bCs/>
      <w:sz w:val="20"/>
      <w:szCs w:val="20"/>
    </w:rPr>
  </w:style>
  <w:style w:type="paragraph" w:styleId="960">
    <w:name w:val="Title"/>
    <w:basedOn w:val="758"/>
    <w:next w:val="758"/>
    <w:link w:val="961"/>
    <w:qFormat/>
    <w:pPr>
      <w:ind w:firstLine="0"/>
      <w:jc w:val="center"/>
      <w:pageBreakBefore/>
      <w:spacing w:before="240" w:after="240"/>
    </w:pPr>
    <w:rPr>
      <w:b/>
      <w:spacing w:val="5"/>
      <w:sz w:val="32"/>
      <w:szCs w:val="52"/>
    </w:rPr>
  </w:style>
  <w:style w:type="character" w:styleId="961" w:customStyle="1">
    <w:name w:val="Заголовок Знак"/>
    <w:link w:val="960"/>
    <w:rPr>
      <w:rFonts w:ascii="Times New Roman" w:hAnsi="Times New Roman" w:eastAsia="Times New Roman" w:cs="Times New Roman"/>
      <w:b/>
      <w:spacing w:val="5"/>
      <w:sz w:val="32"/>
      <w:szCs w:val="52"/>
    </w:rPr>
  </w:style>
  <w:style w:type="paragraph" w:styleId="962">
    <w:name w:val="Subtitle"/>
    <w:basedOn w:val="758"/>
    <w:next w:val="758"/>
    <w:link w:val="963"/>
    <w:qFormat/>
    <w:pPr>
      <w:numPr>
        <w:ilvl w:val="1"/>
      </w:numPr>
      <w:ind w:firstLine="709"/>
      <w:jc w:val="center"/>
      <w:spacing w:line="240" w:lineRule="auto"/>
    </w:pPr>
    <w:rPr>
      <w:i/>
      <w:iCs/>
      <w:spacing w:val="15"/>
      <w:szCs w:val="24"/>
    </w:rPr>
  </w:style>
  <w:style w:type="character" w:styleId="963" w:customStyle="1">
    <w:name w:val="Подзаголовок Знак"/>
    <w:link w:val="962"/>
    <w:rPr>
      <w:rFonts w:ascii="Times New Roman" w:hAnsi="Times New Roman" w:eastAsia="Times New Roman"/>
      <w:i/>
      <w:iCs/>
      <w:spacing w:val="15"/>
      <w:sz w:val="24"/>
      <w:szCs w:val="24"/>
    </w:rPr>
  </w:style>
  <w:style w:type="paragraph" w:styleId="964">
    <w:name w:val="List Paragraph"/>
    <w:basedOn w:val="758"/>
    <w:link w:val="1011"/>
    <w:qFormat/>
    <w:pPr>
      <w:ind w:left="720"/>
    </w:pPr>
  </w:style>
  <w:style w:type="character" w:styleId="965">
    <w:name w:val="Subtle Reference"/>
    <w:qFormat/>
    <w:rPr>
      <w:color w:val="auto"/>
      <w:u w:val="single"/>
    </w:rPr>
  </w:style>
  <w:style w:type="paragraph" w:styleId="966">
    <w:name w:val="TOC Heading"/>
    <w:basedOn w:val="759"/>
    <w:next w:val="758"/>
    <w:qFormat/>
    <w:pPr>
      <w:numPr>
        <w:ilvl w:val="0"/>
        <w:numId w:val="0"/>
      </w:numPr>
      <w:jc w:val="center"/>
      <w:spacing w:after="0"/>
      <w:tabs>
        <w:tab w:val="clear" w:pos="357" w:leader="none"/>
      </w:tabs>
      <w:outlineLvl w:val="9"/>
    </w:pPr>
  </w:style>
  <w:style w:type="paragraph" w:styleId="967" w:customStyle="1">
    <w:name w:val="Рисунок_название"/>
    <w:basedOn w:val="758"/>
    <w:link w:val="968"/>
    <w:pPr>
      <w:ind w:firstLine="0"/>
      <w:jc w:val="center"/>
      <w:spacing w:before="240" w:after="240" w:line="240" w:lineRule="auto"/>
    </w:pPr>
    <w:rPr>
      <w:bCs/>
      <w:sz w:val="24"/>
      <w:szCs w:val="24"/>
    </w:rPr>
  </w:style>
  <w:style w:type="character" w:styleId="968" w:customStyle="1">
    <w:name w:val="Рисунок_название Знак"/>
    <w:link w:val="967"/>
    <w:rPr>
      <w:rFonts w:ascii="Times New Roman" w:hAnsi="Times New Roman" w:eastAsia="Times New Roman"/>
      <w:bCs/>
      <w:sz w:val="24"/>
      <w:szCs w:val="24"/>
    </w:rPr>
  </w:style>
  <w:style w:type="paragraph" w:styleId="969" w:customStyle="1">
    <w:name w:val="Таблица_название"/>
    <w:basedOn w:val="758"/>
    <w:link w:val="970"/>
    <w:pPr>
      <w:ind w:firstLine="0"/>
      <w:spacing w:after="120" w:line="240" w:lineRule="auto"/>
    </w:pPr>
    <w:rPr>
      <w:sz w:val="24"/>
      <w:szCs w:val="24"/>
    </w:rPr>
  </w:style>
  <w:style w:type="character" w:styleId="970" w:customStyle="1">
    <w:name w:val="Таблица_название Знак"/>
    <w:link w:val="969"/>
    <w:rPr>
      <w:rFonts w:ascii="Times New Roman" w:hAnsi="Times New Roman" w:eastAsia="Times New Roman" w:cs="Times New Roman"/>
      <w:sz w:val="24"/>
      <w:szCs w:val="24"/>
    </w:rPr>
  </w:style>
  <w:style w:type="paragraph" w:styleId="971" w:customStyle="1">
    <w:name w:val="Таблица_шапка"/>
    <w:basedOn w:val="758"/>
    <w:link w:val="972"/>
    <w:pPr>
      <w:ind w:firstLine="0"/>
      <w:jc w:val="center"/>
    </w:pPr>
    <w:rPr>
      <w:b/>
      <w:sz w:val="24"/>
      <w:szCs w:val="24"/>
    </w:rPr>
  </w:style>
  <w:style w:type="character" w:styleId="972" w:customStyle="1">
    <w:name w:val="Таблица_шапка Знак"/>
    <w:link w:val="971"/>
    <w:rPr>
      <w:rFonts w:ascii="Times New Roman" w:hAnsi="Times New Roman" w:eastAsia="Times New Roman" w:cs="Times New Roman"/>
      <w:b/>
      <w:sz w:val="24"/>
      <w:szCs w:val="24"/>
    </w:rPr>
  </w:style>
  <w:style w:type="paragraph" w:styleId="973" w:customStyle="1">
    <w:name w:val="Таблица_текст"/>
    <w:basedOn w:val="758"/>
    <w:link w:val="974"/>
    <w:pPr>
      <w:ind w:firstLine="0"/>
      <w:spacing w:line="240" w:lineRule="auto"/>
    </w:pPr>
    <w:rPr>
      <w:sz w:val="24"/>
      <w:szCs w:val="24"/>
    </w:rPr>
  </w:style>
  <w:style w:type="character" w:styleId="974" w:customStyle="1">
    <w:name w:val="Таблица_текст Знак"/>
    <w:link w:val="973"/>
    <w:rPr>
      <w:rFonts w:ascii="Times New Roman" w:hAnsi="Times New Roman" w:eastAsia="Times New Roman" w:cs="Times New Roman"/>
      <w:sz w:val="24"/>
      <w:szCs w:val="24"/>
    </w:rPr>
  </w:style>
  <w:style w:type="paragraph" w:styleId="975" w:customStyle="1">
    <w:name w:val="Рисунок"/>
    <w:pPr>
      <w:jc w:val="center"/>
      <w:keepNext/>
      <w:spacing w:before="240" w:after="240" w:line="360" w:lineRule="auto"/>
    </w:pPr>
    <w:rPr>
      <w:rFonts w:ascii="Times New Roman" w:hAnsi="Times New Roman" w:eastAsia="Times New Roman"/>
      <w:sz w:val="28"/>
      <w:szCs w:val="28"/>
    </w:rPr>
  </w:style>
  <w:style w:type="paragraph" w:styleId="976" w:customStyle="1">
    <w:name w:val="Текст примечания_10 пт_"/>
    <w:basedOn w:val="977"/>
    <w:rPr>
      <w:sz w:val="20"/>
    </w:rPr>
  </w:style>
  <w:style w:type="paragraph" w:styleId="977">
    <w:name w:val="annotation text"/>
    <w:basedOn w:val="758"/>
    <w:link w:val="978"/>
    <w:pPr>
      <w:spacing w:line="240" w:lineRule="auto"/>
    </w:pPr>
    <w:rPr>
      <w:sz w:val="24"/>
      <w:szCs w:val="20"/>
    </w:rPr>
  </w:style>
  <w:style w:type="character" w:styleId="978" w:customStyle="1">
    <w:name w:val="Текст примечания Знак"/>
    <w:link w:val="977"/>
    <w:rPr>
      <w:rFonts w:ascii="Times New Roman" w:hAnsi="Times New Roman" w:eastAsia="Times New Roman" w:cs="Times New Roman"/>
      <w:sz w:val="24"/>
    </w:rPr>
  </w:style>
  <w:style w:type="character" w:styleId="979">
    <w:name w:val="annotation reference"/>
    <w:rPr>
      <w:sz w:val="16"/>
      <w:szCs w:val="16"/>
    </w:rPr>
  </w:style>
  <w:style w:type="character" w:styleId="980" w:customStyle="1">
    <w:name w:val="Заголовок 5 Знак"/>
    <w:link w:val="763"/>
    <w:rPr>
      <w:rFonts w:ascii="Cambria" w:hAnsi="Cambria" w:eastAsia="Times New Roman"/>
      <w:color w:val="243f60"/>
      <w:sz w:val="28"/>
      <w:szCs w:val="28"/>
    </w:rPr>
  </w:style>
  <w:style w:type="paragraph" w:styleId="981">
    <w:name w:val="toc 1"/>
    <w:basedOn w:val="758"/>
    <w:next w:val="758"/>
    <w:uiPriority w:val="39"/>
    <w:pPr>
      <w:ind w:left="426" w:hanging="426"/>
      <w:tabs>
        <w:tab w:val="left" w:pos="426" w:leader="none"/>
        <w:tab w:val="right" w:pos="10195" w:leader="dot"/>
      </w:tabs>
    </w:pPr>
    <w:rPr>
      <w:sz w:val="24"/>
    </w:rPr>
  </w:style>
  <w:style w:type="paragraph" w:styleId="982">
    <w:name w:val="Document Map"/>
    <w:basedOn w:val="758"/>
    <w:link w:val="983"/>
    <w:pPr>
      <w:spacing w:line="240" w:lineRule="auto"/>
    </w:pPr>
    <w:rPr>
      <w:rFonts w:ascii="Tahoma" w:hAnsi="Tahoma" w:cs="Tahoma"/>
      <w:sz w:val="16"/>
      <w:szCs w:val="16"/>
    </w:rPr>
  </w:style>
  <w:style w:type="character" w:styleId="983" w:customStyle="1">
    <w:name w:val="Схема документа Знак"/>
    <w:link w:val="982"/>
    <w:rPr>
      <w:rFonts w:ascii="Tahoma" w:hAnsi="Tahoma" w:eastAsia="Times New Roman" w:cs="Tahoma"/>
      <w:sz w:val="16"/>
      <w:szCs w:val="16"/>
    </w:rPr>
  </w:style>
  <w:style w:type="numbering" w:styleId="984" w:customStyle="1">
    <w:name w:val="Многоуровневый _список"/>
    <w:pPr>
      <w:numPr>
        <w:ilvl w:val="0"/>
        <w:numId w:val="7"/>
      </w:numPr>
    </w:pPr>
  </w:style>
  <w:style w:type="paragraph" w:styleId="985">
    <w:name w:val="toc 2"/>
    <w:basedOn w:val="758"/>
    <w:next w:val="758"/>
    <w:uiPriority w:val="39"/>
    <w:pPr>
      <w:ind w:firstLine="357"/>
      <w:tabs>
        <w:tab w:val="left" w:pos="851" w:leader="none"/>
        <w:tab w:val="right" w:pos="10195" w:leader="dot"/>
      </w:tabs>
    </w:pPr>
    <w:rPr>
      <w:sz w:val="24"/>
    </w:rPr>
  </w:style>
  <w:style w:type="paragraph" w:styleId="986">
    <w:name w:val="List Number"/>
    <w:basedOn w:val="758"/>
    <w:pPr>
      <w:numPr>
        <w:ilvl w:val="0"/>
        <w:numId w:val="3"/>
      </w:numPr>
      <w:ind w:left="0" w:firstLine="709"/>
    </w:pPr>
  </w:style>
  <w:style w:type="paragraph" w:styleId="987">
    <w:name w:val="Body Text"/>
    <w:basedOn w:val="758"/>
    <w:link w:val="988"/>
    <w:rPr>
      <w:sz w:val="24"/>
    </w:rPr>
  </w:style>
  <w:style w:type="character" w:styleId="988" w:customStyle="1">
    <w:name w:val="Основной текст Знак"/>
    <w:link w:val="987"/>
    <w:rPr>
      <w:rFonts w:ascii="Times New Roman" w:hAnsi="Times New Roman" w:eastAsia="Times New Roman" w:cs="Times New Roman"/>
      <w:sz w:val="24"/>
      <w:szCs w:val="28"/>
    </w:rPr>
  </w:style>
  <w:style w:type="paragraph" w:styleId="989">
    <w:name w:val="List Number 2"/>
    <w:basedOn w:val="758"/>
    <w:pPr>
      <w:numPr>
        <w:ilvl w:val="0"/>
        <w:numId w:val="4"/>
      </w:numPr>
      <w:tabs>
        <w:tab w:val="left" w:pos="2268" w:leader="none"/>
      </w:tabs>
    </w:pPr>
  </w:style>
  <w:style w:type="paragraph" w:styleId="990">
    <w:name w:val="List Number 3"/>
    <w:basedOn w:val="758"/>
    <w:pPr>
      <w:numPr>
        <w:ilvl w:val="0"/>
        <w:numId w:val="5"/>
      </w:numPr>
      <w:ind w:left="0" w:firstLine="709"/>
    </w:pPr>
    <w:rPr>
      <w:sz w:val="24"/>
    </w:rPr>
  </w:style>
  <w:style w:type="paragraph" w:styleId="991">
    <w:name w:val="List Number 4"/>
    <w:basedOn w:val="758"/>
    <w:pPr>
      <w:numPr>
        <w:ilvl w:val="0"/>
        <w:numId w:val="6"/>
      </w:numPr>
    </w:pPr>
    <w:rPr>
      <w:sz w:val="24"/>
    </w:rPr>
  </w:style>
  <w:style w:type="paragraph" w:styleId="992">
    <w:name w:val="toc 3"/>
    <w:basedOn w:val="758"/>
    <w:next w:val="758"/>
    <w:pPr>
      <w:ind w:left="426" w:firstLine="425"/>
      <w:spacing w:after="100"/>
      <w:tabs>
        <w:tab w:val="left" w:pos="1418" w:leader="none"/>
        <w:tab w:val="right" w:pos="10195" w:leader="dot"/>
      </w:tabs>
    </w:pPr>
  </w:style>
  <w:style w:type="paragraph" w:styleId="993">
    <w:name w:val="toc 4"/>
    <w:basedOn w:val="758"/>
    <w:next w:val="758"/>
    <w:pPr>
      <w:ind w:left="660"/>
      <w:spacing w:after="100"/>
    </w:pPr>
    <w:rPr>
      <w:rFonts w:ascii="Calibri" w:hAnsi="Calibri"/>
      <w:sz w:val="22"/>
    </w:rPr>
  </w:style>
  <w:style w:type="paragraph" w:styleId="994">
    <w:name w:val="toc 5"/>
    <w:basedOn w:val="758"/>
    <w:next w:val="758"/>
    <w:pPr>
      <w:ind w:left="880"/>
      <w:spacing w:after="100"/>
    </w:pPr>
    <w:rPr>
      <w:rFonts w:ascii="Calibri" w:hAnsi="Calibri"/>
      <w:sz w:val="22"/>
    </w:rPr>
  </w:style>
  <w:style w:type="paragraph" w:styleId="995">
    <w:name w:val="toc 6"/>
    <w:basedOn w:val="758"/>
    <w:next w:val="758"/>
    <w:pPr>
      <w:ind w:left="1100"/>
      <w:spacing w:after="100"/>
    </w:pPr>
    <w:rPr>
      <w:rFonts w:ascii="Calibri" w:hAnsi="Calibri"/>
      <w:sz w:val="22"/>
    </w:rPr>
  </w:style>
  <w:style w:type="paragraph" w:styleId="996">
    <w:name w:val="toc 7"/>
    <w:basedOn w:val="758"/>
    <w:next w:val="758"/>
    <w:pPr>
      <w:ind w:left="1320"/>
      <w:spacing w:after="100"/>
    </w:pPr>
    <w:rPr>
      <w:rFonts w:ascii="Calibri" w:hAnsi="Calibri"/>
      <w:sz w:val="22"/>
    </w:rPr>
  </w:style>
  <w:style w:type="paragraph" w:styleId="997">
    <w:name w:val="toc 8"/>
    <w:basedOn w:val="758"/>
    <w:next w:val="758"/>
    <w:pPr>
      <w:ind w:left="1540"/>
      <w:spacing w:after="100"/>
    </w:pPr>
    <w:rPr>
      <w:rFonts w:ascii="Calibri" w:hAnsi="Calibri"/>
      <w:sz w:val="22"/>
    </w:rPr>
  </w:style>
  <w:style w:type="paragraph" w:styleId="998">
    <w:name w:val="toc 9"/>
    <w:basedOn w:val="758"/>
    <w:next w:val="758"/>
    <w:pPr>
      <w:ind w:left="1760"/>
      <w:spacing w:after="100"/>
    </w:pPr>
    <w:rPr>
      <w:rFonts w:ascii="Calibri" w:hAnsi="Calibri"/>
      <w:sz w:val="22"/>
    </w:rPr>
  </w:style>
  <w:style w:type="paragraph" w:styleId="999">
    <w:name w:val="annotation subject"/>
    <w:basedOn w:val="977"/>
    <w:next w:val="977"/>
    <w:link w:val="1000"/>
    <w:pPr>
      <w:spacing w:line="360" w:lineRule="auto"/>
    </w:pPr>
    <w:rPr>
      <w:b/>
      <w:bCs/>
      <w:sz w:val="20"/>
    </w:rPr>
  </w:style>
  <w:style w:type="character" w:styleId="1000" w:customStyle="1">
    <w:name w:val="Тема примечания Знак"/>
    <w:link w:val="999"/>
    <w:rPr>
      <w:rFonts w:ascii="Times New Roman" w:hAnsi="Times New Roman" w:eastAsia="Times New Roman" w:cs="Times New Roman"/>
      <w:b/>
      <w:bCs/>
      <w:sz w:val="24"/>
    </w:rPr>
  </w:style>
  <w:style w:type="paragraph" w:styleId="1001">
    <w:name w:val="Body Text Indent"/>
    <w:basedOn w:val="758"/>
    <w:link w:val="1002"/>
    <w:pPr>
      <w:spacing w:before="240" w:after="240"/>
    </w:pPr>
  </w:style>
  <w:style w:type="character" w:styleId="1002" w:customStyle="1">
    <w:name w:val="Основной текст с отступом Знак"/>
    <w:link w:val="1001"/>
    <w:rPr>
      <w:rFonts w:ascii="Times New Roman" w:hAnsi="Times New Roman"/>
      <w:sz w:val="24"/>
      <w:szCs w:val="22"/>
      <w:lang w:eastAsia="en-US"/>
    </w:rPr>
  </w:style>
  <w:style w:type="paragraph" w:styleId="1003">
    <w:name w:val="Body Text 2"/>
    <w:basedOn w:val="758"/>
    <w:link w:val="1004"/>
  </w:style>
  <w:style w:type="character" w:styleId="1004" w:customStyle="1">
    <w:name w:val="Основной текст 2 Знак"/>
    <w:link w:val="1003"/>
    <w:rPr>
      <w:rFonts w:ascii="Times New Roman" w:hAnsi="Times New Roman"/>
      <w:sz w:val="24"/>
      <w:szCs w:val="22"/>
      <w:lang w:eastAsia="en-US"/>
    </w:rPr>
  </w:style>
  <w:style w:type="paragraph" w:styleId="1005">
    <w:name w:val="Normal Indent"/>
    <w:basedOn w:val="758"/>
    <w:pPr>
      <w:jc w:val="center"/>
    </w:pPr>
  </w:style>
  <w:style w:type="paragraph" w:styleId="1006">
    <w:name w:val="List Number 5"/>
    <w:basedOn w:val="758"/>
    <w:pPr>
      <w:numPr>
        <w:ilvl w:val="0"/>
        <w:numId w:val="8"/>
      </w:numPr>
      <w:ind w:left="0" w:firstLine="709"/>
    </w:pPr>
  </w:style>
  <w:style w:type="paragraph" w:styleId="1007">
    <w:name w:val="Body Text Indent 2"/>
    <w:basedOn w:val="758"/>
    <w:link w:val="1008"/>
    <w:pPr>
      <w:spacing w:before="240" w:after="240"/>
    </w:pPr>
  </w:style>
  <w:style w:type="character" w:styleId="1008" w:customStyle="1">
    <w:name w:val="Основной текст с отступом 2 Знак"/>
    <w:link w:val="1007"/>
    <w:rPr>
      <w:rFonts w:ascii="Times New Roman" w:hAnsi="Times New Roman"/>
      <w:sz w:val="24"/>
      <w:szCs w:val="22"/>
      <w:lang w:eastAsia="en-US"/>
    </w:rPr>
  </w:style>
  <w:style w:type="paragraph" w:styleId="1009">
    <w:name w:val="Revision"/>
    <w:hidden/>
    <w:rPr>
      <w:rFonts w:ascii="Times New Roman" w:hAnsi="Times New Roman" w:eastAsia="Times New Roman"/>
      <w:sz w:val="28"/>
      <w:szCs w:val="28"/>
    </w:rPr>
  </w:style>
  <w:style w:type="character" w:styleId="1010" w:customStyle="1">
    <w:name w:val="Выделение слова"/>
    <w:rPr>
      <w:b/>
      <w:bCs/>
    </w:rPr>
  </w:style>
  <w:style w:type="character" w:styleId="1011" w:customStyle="1">
    <w:name w:val="Абзац списка Знак"/>
    <w:link w:val="964"/>
    <w:rPr>
      <w:rFonts w:ascii="Times New Roman" w:hAnsi="Times New Roman" w:eastAsia="Times New Roman"/>
      <w:sz w:val="28"/>
      <w:szCs w:val="28"/>
    </w:rPr>
  </w:style>
  <w:style w:type="paragraph" w:styleId="1012">
    <w:name w:val="table of figures"/>
    <w:basedOn w:val="758"/>
    <w:next w:val="758"/>
  </w:style>
  <w:style w:type="paragraph" w:styleId="1013" w:customStyle="1">
    <w:name w:val="аааааа"/>
    <w:basedOn w:val="758"/>
    <w:pPr>
      <w:ind w:firstLine="0"/>
      <w:keepLines w:val="0"/>
      <w:spacing w:before="200" w:line="276" w:lineRule="auto"/>
      <w:tabs>
        <w:tab w:val="left" w:pos="0" w:leader="none"/>
      </w:tabs>
    </w:pPr>
    <w:rPr>
      <w:rFonts w:eastAsia="Calibri"/>
      <w:bCs/>
      <w:lang w:eastAsia="en-US"/>
    </w:rPr>
  </w:style>
  <w:style w:type="character" w:styleId="1014" w:customStyle="1">
    <w:name w:val="dynatree-node"/>
    <w:basedOn w:val="768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image" Target="media/image1.png"/><Relationship Id="rId17" Type="http://schemas.openxmlformats.org/officeDocument/2006/relationships/hyperlink" Target="https://lk.zakupki.gov.ru/kb/app/manuals-and-video" TargetMode="External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B9E87-E179-40F4-89D0-6ECF55681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Гнеднева Анна Константиновна</dc:creator>
  <cp:keywords/>
  <dc:description/>
  <cp:revision>7</cp:revision>
  <dcterms:created xsi:type="dcterms:W3CDTF">2025-03-31T11:49:00Z</dcterms:created>
  <dcterms:modified xsi:type="dcterms:W3CDTF">2025-03-31T09:31:35Z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