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>
        <w:rPr>
          <w:rFonts w:ascii="Times New Roman" w:hAnsi="Times New Roman"/>
          <w:b/>
          <w:sz w:val="28"/>
          <w:szCs w:val="28"/>
        </w:rPr>
        <w:t xml:space="preserve">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Новосибирской области, в лице ____________________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________________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 одной стороны, и _____________________</w:t>
      </w:r>
      <w:r>
        <w:rPr>
          <w:rFonts w:ascii="Times New Roman" w:hAnsi="Times New Roman"/>
          <w:sz w:val="24"/>
          <w:szCs w:val="24"/>
        </w:rPr>
        <w:t xml:space="preserve">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«Исполнитель», в лице 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 и каждый в отдельности «Сторона», с соблюдением требований Федерального зако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от 05.04.2013 № </w:t>
      </w:r>
      <w:r>
        <w:rPr>
          <w:rFonts w:ascii="Times New Roman" w:hAnsi="Times New Roman"/>
          <w:sz w:val="24"/>
          <w:szCs w:val="24"/>
        </w:rPr>
        <w:t xml:space="preserve">44-ФЗ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 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исполнителя на основании __________________________</w:t>
      </w:r>
      <w:r>
        <w:rPr>
          <w:rFonts w:ascii="Times New Roman" w:hAnsi="Times New Roman"/>
          <w:sz w:val="24"/>
          <w:szCs w:val="24"/>
        </w:rPr>
        <w:t xml:space="preserve">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по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идам услуг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,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указанным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Спецификаци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и (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приложением №2 к Контракту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(спецификация указывается в контракте в случае, если услуга включает в себя несколько видов услуг)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</w:t>
      </w:r>
      <w:r>
        <w:rPr>
          <w:rFonts w:ascii="Times New Roman" w:hAnsi="Times New Roman"/>
          <w:sz w:val="24"/>
          <w:szCs w:val="24"/>
        </w:rPr>
        <w:t xml:space="preserve">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</w:t>
      </w:r>
      <w:r>
        <w:rPr>
          <w:rFonts w:ascii="Times New Roman" w:hAnsi="Times New Roman"/>
          <w:sz w:val="24"/>
          <w:szCs w:val="24"/>
        </w:rPr>
        <w:t xml:space="preserve">% (___ пр</w:t>
      </w:r>
      <w:r>
        <w:rPr>
          <w:rFonts w:ascii="Times New Roman" w:hAnsi="Times New Roman"/>
          <w:sz w:val="24"/>
          <w:szCs w:val="24"/>
        </w:rPr>
        <w:t xml:space="preserve">оцентов), _______ (___) рублей_____ копеек </w:t>
      </w:r>
      <w:r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цена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первого этапа составляет </w:t>
      </w:r>
      <w:r>
        <w:rPr>
          <w:rFonts w:ascii="Times New Roman" w:hAnsi="Times New Roman"/>
          <w:sz w:val="24"/>
          <w:szCs w:val="24"/>
        </w:rPr>
        <w:t xml:space="preserve">______________________ (_______) рублей ___ копеек</w:t>
      </w:r>
      <w:r>
        <w:t xml:space="preserve"> 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составляет ______________________ (_______) рублей __ копеек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Цена Контракта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твердой и не может изменяться в ходе его исполнения, за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исключением случаев, предусмотренных Законом о контрактной систе</w:t>
      </w:r>
      <w:r>
        <w:rPr>
          <w:rFonts w:ascii="Times New Roman" w:hAnsi="Times New Roman"/>
          <w:sz w:val="24"/>
          <w:szCs w:val="24"/>
        </w:rPr>
        <w:t xml:space="preserve">ме. Цена Контракта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3.1. Место оказания Услуг: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c2d2e"/>
          <w:sz w:val="24"/>
          <w:szCs w:val="24"/>
        </w:rPr>
        <w:t xml:space="preserve">в соответствии с Описанием объекта закупки (Приложение № 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к Контракту)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Услуги должны быть оказаны Исполнителем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 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 объему 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 Заказчик</w:t>
      </w:r>
      <w:r>
        <w:rPr>
          <w:rFonts w:ascii="Times New Roman" w:hAnsi="Times New Roman"/>
          <w:sz w:val="24"/>
          <w:szCs w:val="24"/>
        </w:rPr>
        <w:t xml:space="preserve"> 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 Заказчик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результатов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 Контракта,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репятствует приемке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5.1. 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сполнитель не позднее 5 (пяти) рабочих дней с даты окончания оказания Услуг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ию».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5.2. 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в срок, указанный в пункте 4.3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</w:t>
      </w:r>
      <w:r>
        <w:rPr>
          <w:rFonts w:ascii="Times New Roman" w:hAnsi="Times New Roman"/>
          <w:sz w:val="24"/>
          <w:szCs w:val="24"/>
          <w:highlight w:val="none"/>
        </w:rPr>
        <w:t xml:space="preserve">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(этапа)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Исполнитель </w:t>
      </w:r>
      <w:r>
        <w:rPr>
          <w:rFonts w:ascii="Times New Roman" w:hAnsi="Times New Roman"/>
          <w:sz w:val="24"/>
          <w:szCs w:val="24"/>
          <w:highlight w:val="none"/>
        </w:rPr>
        <w:t xml:space="preserve">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sz w:val="24"/>
          <w:szCs w:val="24"/>
          <w:highlight w:val="none"/>
        </w:rPr>
        <w:t xml:space="preserve">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 __ копеек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 копеек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 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.1.1. в случае досрочного исполнения Исполнителем обязательств по Контракту принять Услуги в соответствии с установленным в Контракте порядком;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.1.2. требовать от Исполнителя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;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.1.4. отказаться от приемки оказанных </w:t>
      </w:r>
      <w:r>
        <w:rPr>
          <w:rFonts w:ascii="Times New Roman" w:hAnsi="Times New Roman"/>
          <w:spacing w:val="1"/>
          <w:sz w:val="24"/>
          <w:szCs w:val="24"/>
        </w:rPr>
        <w:t xml:space="preserve">Услуг в случаях, предусмотренных Контрактом и законодательством Российской Федерации, в том числе в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  <w:t xml:space="preserve">7.1.6. принять решение об одностороннем отказе от исполне</w:t>
      </w:r>
      <w:r>
        <w:rPr>
          <w:rFonts w:ascii="Times New Roman" w:hAnsi="Times New Roman"/>
          <w:spacing w:val="1"/>
          <w:sz w:val="24"/>
          <w:szCs w:val="24"/>
        </w:rPr>
        <w:t xml:space="preserve">ния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соответствии с З</w:t>
      </w:r>
      <w:r>
        <w:rPr>
          <w:rFonts w:ascii="Times New Roman" w:hAnsi="Times New Roman"/>
          <w:spacing w:val="1"/>
          <w:sz w:val="24"/>
          <w:szCs w:val="24"/>
        </w:rPr>
        <w:t xml:space="preserve">аконо</w:t>
      </w:r>
      <w:r>
        <w:rPr>
          <w:rFonts w:ascii="Times New Roman" w:hAnsi="Times New Roman"/>
          <w:spacing w:val="1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по соглашению с Исполнителем изменить существенные </w:t>
      </w:r>
      <w:r>
        <w:rPr>
          <w:rFonts w:ascii="Times New Roman" w:hAnsi="Times New Roman"/>
          <w:spacing w:val="1"/>
          <w:sz w:val="24"/>
          <w:szCs w:val="24"/>
        </w:rPr>
        <w:t xml:space="preserve">условия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случаях, установленных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.2.1. провести экспертизу для проверки представленных Исполнителем результатов оказанных Услуг,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.2.2. своевременно принять надлежащим образом оказанные Услу</w:t>
      </w:r>
      <w:r>
        <w:rPr>
          <w:rFonts w:ascii="Times New Roman" w:hAnsi="Times New Roman"/>
          <w:sz w:val="24"/>
          <w:szCs w:val="24"/>
        </w:rPr>
        <w:t xml:space="preserve">ги в соответствии </w:t>
        <w:br/>
        <w:t xml:space="preserve">с условиями Контракта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.2.3. своевременно оплатить оказанные Услуги надлежащего качества в соответствии </w:t>
        <w:br/>
        <w:t xml:space="preserve">с условиями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.2.4. </w:t>
      </w:r>
      <w:r>
        <w:rPr>
          <w:rFonts w:ascii="Times New Roman" w:hAnsi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.2.5. </w:t>
      </w:r>
      <w:r>
        <w:rPr>
          <w:rFonts w:ascii="Times New Roman" w:hAnsi="Times New Roman"/>
          <w:sz w:val="24"/>
          <w:szCs w:val="24"/>
        </w:rPr>
        <w:t xml:space="preserve">требовать от Исполнителя уплаты неустойки за неисполнение или ненадлежащее исполнения Контракта Исполнителем;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 обеспечить конфиденциальность информации, представленной Исполнителем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.3.4. привлекать к исполнению своих обязательств по Контракту других лиц</w:t>
      </w:r>
      <w:r>
        <w:rPr>
          <w:rFonts w:ascii="Times New Roman" w:hAnsi="Times New Roman"/>
          <w:sz w:val="24"/>
          <w:szCs w:val="24"/>
        </w:rPr>
        <w:t xml:space="preserve"> – соисполнителей, обладающих специальными знаниями, навыками, квалификацией, специальным оборудованием и т.п., по видам (содержанию) Услуг. При этом Исполнитель несет ответственность за неисполнение или ненадлежащее исполнение обязательств соисполнителей;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случае если Описанием объекта закупки предусмотрено оказание услуг лично Исполнителем, пункт 7.3.4 Контракта исключается)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.3.5. досрочно исполнить обязательства по Контракту с согласия Заказчика;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.3.6. принять решение об одностороннем отказе от исполнения Контракта в соответствии с законодательством Российской Федерации;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.3.7.пользоваться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своевременно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</w:rPr>
        <w:t xml:space="preserve">по 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Услуг за свой счет;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Контрактом; 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в течение 1 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качества;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</w:rPr>
        <w:t xml:space="preserve">енным законодательством Российской Федерации, в течение всего срока исполнения Контракта.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представить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обязательства), предусмотренных Контрактом, а также в иных случаях </w:t>
      </w:r>
      <w:r>
        <w:rPr>
          <w:rFonts w:ascii="Times New Roman" w:hAnsi="Times New Roman"/>
          <w:sz w:val="24"/>
          <w:szCs w:val="24"/>
        </w:rPr>
        <w:t xml:space="preserve">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eastAsiaTheme="minorHAnsi"/>
          <w:sz w:val="24"/>
          <w:szCs w:val="24"/>
        </w:rPr>
        <w:t xml:space="preserve">7.</w:t>
      </w:r>
      <w:r>
        <w:rPr>
          <w:rFonts w:ascii="Times New Roman" w:hAnsi="Times New Roman" w:eastAsiaTheme="minorHAnsi"/>
          <w:sz w:val="24"/>
          <w:szCs w:val="24"/>
        </w:rPr>
        <w:t xml:space="preserve">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</w:t>
      </w:r>
      <w:r>
        <w:rPr>
          <w:rFonts w:ascii="Times New Roman" w:hAnsi="Times New Roman"/>
          <w:sz w:val="24"/>
          <w:szCs w:val="24"/>
        </w:rPr>
        <w:t xml:space="preserve">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10. 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Исполнит</w:t>
      </w:r>
      <w:r>
        <w:rPr>
          <w:rFonts w:ascii="Times New Roman" w:hAnsi="Times New Roman"/>
          <w:sz w:val="24"/>
          <w:szCs w:val="24"/>
        </w:rPr>
        <w:t xml:space="preserve">елем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или внесением денежных средств на указанный Заказчиком счет, на котором в со</w:t>
      </w:r>
      <w:r>
        <w:rPr>
          <w:rFonts w:ascii="Times New Roman" w:hAnsi="Times New Roman"/>
          <w:sz w:val="24"/>
          <w:szCs w:val="24"/>
          <w:highlight w:val="white"/>
        </w:rPr>
        <w:t xml:space="preserve">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9.3. В ходе исполнения Контракта Исполнитель вправе изменить способ обеспечения исполнени</w:t>
      </w:r>
      <w:r>
        <w:rPr>
          <w:rFonts w:ascii="Times New Roman" w:hAnsi="Times New Roman"/>
          <w:sz w:val="24"/>
          <w:szCs w:val="24"/>
          <w:highlight w:val="white"/>
        </w:rPr>
        <w:t xml:space="preserve">я Контракта и (или) предоставить Заказчику взамен р</w:t>
      </w:r>
      <w:r>
        <w:rPr>
          <w:rFonts w:ascii="Times New Roman" w:hAnsi="Times New Roman"/>
          <w:sz w:val="24"/>
          <w:szCs w:val="24"/>
        </w:rPr>
        <w:t xml:space="preserve">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11" w:tooltip="consultantplus://offline/ref=B689AD7A1C1BB115959EAA61CDEB402385CE774CFE23207478DE38A79F59C7B3E0DB074ECB212A9CABD37C92FE30A78BAC7C15CB7C47g7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Контракта, 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Исполнителем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Исполнителя подлежит возврату Исполнителю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 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Исполни</w:t>
      </w:r>
      <w:r>
        <w:rPr>
          <w:rFonts w:ascii="Times New Roman" w:hAnsi="Times New Roman"/>
          <w:sz w:val="24"/>
          <w:szCs w:val="24"/>
        </w:rPr>
        <w:t xml:space="preserve">тель гарантирует возможность безопасного использования результата оказанных Услуг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гарантирует, что оказанные услуги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оказания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</w:t>
      </w:r>
      <w:r>
        <w:rPr>
          <w:rFonts w:ascii="Times New Roman" w:hAnsi="Times New Roman"/>
          <w:sz w:val="24"/>
          <w:szCs w:val="24"/>
        </w:rPr>
        <w:t xml:space="preserve">Услуг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 Если в течение гарантийного срока обнаружатся недостатки результата оказанных Услуг, то Исполнитель,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 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целях предоставления Исполнителем гарантии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Обе</w:t>
      </w:r>
      <w:r>
        <w:rPr>
          <w:rFonts w:ascii="Times New Roman" w:hAnsi="Times New Roman"/>
          <w:sz w:val="24"/>
          <w:szCs w:val="24"/>
          <w:highlight w:val="none"/>
        </w:rPr>
        <w:t xml:space="preserve">спечение гарантийных обязательств предоставляется Исполнителем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Исполнителем в адрес З</w:t>
      </w:r>
      <w:r>
        <w:rPr>
          <w:rFonts w:ascii="Times New Roman" w:hAnsi="Times New Roman"/>
          <w:sz w:val="24"/>
          <w:szCs w:val="24"/>
          <w:highlight w:val="none"/>
        </w:rPr>
        <w:t xml:space="preserve">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  <w:highlight w:val="none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Исполнителя,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(пятнадцати)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Исполн</w:t>
      </w:r>
      <w:r>
        <w:rPr>
          <w:rFonts w:ascii="Times New Roman" w:hAnsi="Times New Roman"/>
          <w:sz w:val="24"/>
          <w:szCs w:val="24"/>
        </w:rPr>
        <w:t xml:space="preserve">ителем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10.4. В случае,</w:t>
      </w:r>
      <w:r>
        <w:rPr>
          <w:rFonts w:ascii="Times New Roman" w:hAnsi="Times New Roman"/>
          <w:sz w:val="24"/>
          <w:szCs w:val="24"/>
        </w:rPr>
        <w:t xml:space="preserve"> 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</w:t>
      </w:r>
      <w:r>
        <w:rPr>
          <w:rFonts w:ascii="Times New Roman" w:hAnsi="Times New Roman"/>
          <w:sz w:val="24"/>
          <w:szCs w:val="24"/>
          <w:lang w:eastAsia="ar-SA"/>
        </w:rPr>
        <w:t xml:space="preserve">).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.3.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</w:rPr>
        <w:t xml:space="preserve">оказаны</w:t>
      </w:r>
      <w:r>
        <w:rPr>
          <w:rFonts w:ascii="Times New Roman" w:hAnsi="Times New Roman"/>
          <w:iCs/>
          <w:sz w:val="24"/>
          <w:szCs w:val="24"/>
        </w:rPr>
        <w:t xml:space="preserve">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</w:rPr>
        <w:t xml:space="preserve"> вправе 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 </w:t>
      </w:r>
      <w:r>
        <w:rPr>
          <w:rFonts w:ascii="Times New Roman" w:hAnsi="Times New Roman"/>
          <w:iCs/>
          <w:sz w:val="24"/>
          <w:szCs w:val="24"/>
        </w:rPr>
        <w:t xml:space="preserve">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Если при нарушении Исполнителем конечного срока оказания Услуг, </w:t>
      </w:r>
      <w:r>
        <w:rPr>
          <w:rFonts w:ascii="Times New Roman" w:hAnsi="Times New Roman"/>
          <w:iCs/>
          <w:sz w:val="24"/>
          <w:szCs w:val="24"/>
        </w:rPr>
        <w:t xml:space="preserve">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исполнение Исполнителем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pacing w:val="1"/>
          <w:sz w:val="24"/>
          <w:szCs w:val="24"/>
        </w:rPr>
        <w:t xml:space="preserve"> 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</w:t>
      </w:r>
      <w:r>
        <w:rPr>
          <w:rFonts w:ascii="Times New Roman" w:hAnsi="Times New Roman"/>
          <w:sz w:val="24"/>
          <w:szCs w:val="24"/>
        </w:rP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</w:t>
      </w:r>
      <w:r>
        <w:rPr>
          <w:rFonts w:ascii="Times New Roman" w:hAnsi="Times New Roman"/>
          <w:sz w:val="24"/>
          <w:szCs w:val="24"/>
          <w:highlight w:val="whit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Исполнитель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15.Прочие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  <w:highlight w:val="white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</w:t>
      </w:r>
      <w:r>
        <w:rPr>
          <w:rFonts w:ascii="Times New Roman" w:hAnsi="Times New Roman"/>
          <w:sz w:val="24"/>
          <w:szCs w:val="24"/>
        </w:rPr>
        <w:t xml:space="preserve">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приложение № 2 «Спецификация»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(спецификация указывается в контракте в случае, если услуга включает в себя несколько видов услуг).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64"/>
        <w:gridCol w:w="5049"/>
      </w:tblGrid>
      <w:tr>
        <w:tblPrEx/>
        <w:trPr>
          <w:trHeight w:val="267"/>
        </w:trPr>
        <w:tc>
          <w:tcPr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СПЕЦИФИКАЦИЯ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66"/>
        <w:gridCol w:w="668"/>
        <w:gridCol w:w="684"/>
        <w:gridCol w:w="983"/>
        <w:gridCol w:w="978"/>
        <w:gridCol w:w="874"/>
        <w:gridCol w:w="850"/>
        <w:gridCol w:w="846"/>
        <w:gridCol w:w="1266"/>
      </w:tblGrid>
      <w:tr>
        <w:tblPrEx/>
        <w:trPr>
          <w:trHeight w:val="1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16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3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1D7-7115-4942-91A5-CFEC92E5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76</cp:revision>
  <dcterms:created xsi:type="dcterms:W3CDTF">2023-02-07T06:15:00Z</dcterms:created>
  <dcterms:modified xsi:type="dcterms:W3CDTF">2024-12-25T03:05:22Z</dcterms:modified>
</cp:coreProperties>
</file>