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поставку горюче-смазочных материалов для </w:t>
      </w:r>
      <w:r>
        <w:rPr>
          <w:rFonts w:ascii="Times New Roman" w:hAnsi="Times New Roman"/>
          <w:b/>
          <w:sz w:val="28"/>
          <w:szCs w:val="28"/>
        </w:rPr>
        <w:t xml:space="preserve">обеспечения </w:t>
      </w:r>
      <w:r>
        <w:rPr>
          <w:rFonts w:ascii="Times New Roman" w:hAnsi="Times New Roman"/>
          <w:b/>
          <w:sz w:val="28"/>
          <w:szCs w:val="28"/>
        </w:rPr>
        <w:t xml:space="preserve">нужд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___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53"/>
        <w:jc w:val="center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     «__»______________ 20___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7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</w:t>
      </w:r>
      <w:r>
        <w:rPr>
          <w:rFonts w:ascii="Times New Roman" w:hAnsi="Times New Roman"/>
          <w:sz w:val="24"/>
          <w:szCs w:val="24"/>
        </w:rPr>
        <w:t xml:space="preserve">овосибирской области, в лице _________________,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«Поставщик», в лице 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</w:t>
      </w:r>
      <w:r>
        <w:rPr>
          <w:rFonts w:ascii="Times New Roman" w:hAnsi="Times New Roman"/>
          <w:sz w:val="24"/>
          <w:szCs w:val="24"/>
        </w:rPr>
        <w:t xml:space="preserve"> основании 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</w:t>
      </w:r>
      <w:r>
        <w:rPr>
          <w:rFonts w:ascii="Times New Roman" w:hAnsi="Times New Roman"/>
          <w:sz w:val="24"/>
          <w:szCs w:val="24"/>
        </w:rPr>
        <w:t xml:space="preserve">Стороны»</w:t>
      </w:r>
      <w:r>
        <w:rPr>
          <w:rFonts w:ascii="Times New Roman" w:hAnsi="Times New Roman"/>
          <w:sz w:val="24"/>
          <w:szCs w:val="24"/>
        </w:rPr>
        <w:t xml:space="preserve"> и каждый в отдельности «Сторона», с соблюдением требований Федерального закона от 05.04.2013 № 44-ФЗ «О контрактной системе в сфере закупок товаров, работ, услуг для обеспечения государственных и муниципальных нужд» (далее – Закон о контрактной системе),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с единственным поставщиком на основании ____________________</w:t>
      </w:r>
      <w:r>
        <w:rPr>
          <w:rFonts w:ascii="Times New Roman" w:hAnsi="Times New Roman"/>
          <w:sz w:val="24"/>
          <w:szCs w:val="24"/>
        </w:rPr>
        <w:t xml:space="preserve">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соответствовать функциональным, техническим, качественным и иным характеристикам товара, установленным в Описании объекта закупки (приложение №1 к Контракту) (далее – Товар).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5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Формула цены и максимальное значение цены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онтракта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5"/>
        <w:ind w:left="0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</w:t>
      </w:r>
      <w:r>
        <w:rPr>
          <w:rFonts w:ascii="Times New Roman" w:hAnsi="Times New Roman"/>
          <w:sz w:val="24"/>
          <w:szCs w:val="24"/>
          <w:u w:val="single"/>
        </w:rPr>
        <w:t xml:space="preserve">Максимальное значение цены Контракта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ЦКmax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</w:t>
      </w:r>
      <w:r>
        <w:rPr>
          <w:rFonts w:ascii="Times New Roman" w:hAnsi="Times New Roman"/>
          <w:sz w:val="24"/>
          <w:szCs w:val="24"/>
        </w:rPr>
        <w:t xml:space="preserve"> ___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Формула цены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32305" cy="7683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32305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2.15pt;height:6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ЦК – цена </w:t>
      </w:r>
      <w:r>
        <w:rPr>
          <w:rFonts w:ascii="Times New Roman" w:hAnsi="Times New Roman"/>
          <w:sz w:val="24"/>
          <w:szCs w:val="24"/>
        </w:rPr>
        <w:t xml:space="preserve">Контракта, определённая с использованием настоящей формулы, которая не может превышать максимальное значение цены контракта (ЦК </w:t>
      </w:r>
      <w:r>
        <w:rPr>
          <w:rFonts w:ascii="Cambria Math" w:hAnsi="Cambria Math" w:cs="Cambria Math"/>
          <w:sz w:val="24"/>
          <w:szCs w:val="24"/>
        </w:rPr>
        <w:t xml:space="preserve">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ЦКmax</w:t>
      </w:r>
      <w:r>
        <w:rPr>
          <w:rFonts w:ascii="Times New Roman" w:hAnsi="Times New Roman"/>
          <w:sz w:val="24"/>
          <w:szCs w:val="24"/>
        </w:rPr>
        <w:t xml:space="preserve">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Цi</w:t>
      </w:r>
      <w:r>
        <w:rPr>
          <w:rFonts w:ascii="Times New Roman" w:hAnsi="Times New Roman"/>
          <w:sz w:val="24"/>
          <w:szCs w:val="24"/>
        </w:rPr>
        <w:t xml:space="preserve"> – отпускная цена Поставщика за единицу поставляемого Товара в месяце (периоде) поставки, указываемая Поставщиком в товарной (товарно-транспортной) накладной и акте приема-передачи товаров.</w:t>
      </w:r>
      <w:r>
        <w:rPr>
          <w:rFonts w:asciiTheme="minorHAnsi" w:hAnsiTheme="minorHAnsi" w:eastAsiaTheme="minorHAnsi" w:cstheme="minorBidi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может превышать цену за единицу товара, указанную в контракте </w:t>
      </w:r>
      <w:r>
        <w:rPr>
          <w:rFonts w:ascii="Times New Roman" w:hAnsi="Times New Roman"/>
          <w:color w:val="000000"/>
          <w:sz w:val="24"/>
          <w:szCs w:val="24"/>
        </w:rPr>
        <w:t xml:space="preserve">(Приложение №1 к Описанию объекта закупки).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</w:t>
      </w:r>
      <w:r>
        <w:rPr>
          <w:rFonts w:ascii="Times New Roman" w:hAnsi="Times New Roman"/>
          <w:sz w:val="24"/>
          <w:szCs w:val="24"/>
        </w:rPr>
        <w:t xml:space="preserve"> –  объём поставляемого Товара в месяце (периоде)</w:t>
      </w:r>
      <w:r>
        <w:rPr>
          <w:rFonts w:ascii="Times New Roman" w:hAnsi="Times New Roman"/>
          <w:sz w:val="24"/>
          <w:szCs w:val="24"/>
        </w:rPr>
        <w:t xml:space="preserve"> поставки;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начальное значение (индекс суммирования), который равен значению суммируемых величин (</w:t>
      </w:r>
      <w:r>
        <w:rPr>
          <w:rFonts w:ascii="Times New Roman" w:hAnsi="Times New Roman"/>
          <w:sz w:val="24"/>
          <w:szCs w:val="24"/>
        </w:rPr>
        <w:t xml:space="preserve">Цi</w:t>
      </w:r>
      <w:r>
        <w:rPr>
          <w:rFonts w:ascii="Times New Roman" w:hAnsi="Times New Roman"/>
          <w:sz w:val="24"/>
          <w:szCs w:val="24"/>
        </w:rPr>
        <w:t xml:space="preserve"> ∙ </w:t>
      </w:r>
      <w:r>
        <w:rPr>
          <w:rFonts w:ascii="Times New Roman" w:hAnsi="Times New Roman"/>
          <w:sz w:val="24"/>
          <w:szCs w:val="24"/>
        </w:rPr>
        <w:t xml:space="preserve">Vi</w:t>
      </w:r>
      <w:r>
        <w:rPr>
          <w:rFonts w:ascii="Times New Roman" w:hAnsi="Times New Roman"/>
          <w:sz w:val="24"/>
          <w:szCs w:val="24"/>
        </w:rPr>
        <w:t xml:space="preserve">) за 1 месяц поставки Товара;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конечное значение (диапазон суммирования), которое равно значению суммируемых величин за количество месяца (-ев) (периода) поставки, используемому при расчёте.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</w:t>
      </w:r>
      <w:r>
        <w:rPr>
          <w:rFonts w:ascii="Times New Roman" w:hAnsi="Times New Roman"/>
          <w:sz w:val="24"/>
          <w:szCs w:val="24"/>
        </w:rPr>
        <w:t xml:space="preserve"> Цена </w:t>
      </w:r>
      <w:r>
        <w:rPr>
          <w:rFonts w:ascii="Times New Roman" w:hAnsi="Times New Roman"/>
          <w:sz w:val="24"/>
          <w:szCs w:val="24"/>
        </w:rPr>
        <w:t xml:space="preserve">единицы товара</w:t>
      </w:r>
      <w:r>
        <w:rPr>
          <w:rFonts w:ascii="Times New Roman" w:hAnsi="Times New Roman"/>
          <w:sz w:val="24"/>
          <w:szCs w:val="24"/>
        </w:rPr>
        <w:t xml:space="preserve"> включает в себя расходы, связанные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поставкой Товара, предусмотренного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3.Порядок, место и сроки поставки Товара</w:t>
      </w:r>
      <w:r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r>
    </w:p>
    <w:p>
      <w:pPr>
        <w:jc w:val="center"/>
        <w:spacing w:after="0" w:afterAutospacing="0" w:line="283" w:lineRule="atLeast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firstLine="708"/>
        <w:jc w:val="both"/>
        <w:spacing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</w:t>
      </w:r>
      <w:r>
        <w:rPr>
          <w:rFonts w:ascii="Times New Roman" w:hAnsi="Times New Roman"/>
          <w:sz w:val="24"/>
          <w:szCs w:val="24"/>
        </w:rPr>
        <w:t xml:space="preserve">Поставка Товара осуществляется силами и средствами Поставщика по </w:t>
      </w:r>
      <w:r>
        <w:rPr>
          <w:rFonts w:ascii="Times New Roman" w:hAnsi="Times New Roman"/>
          <w:sz w:val="24"/>
          <w:szCs w:val="24"/>
        </w:rPr>
        <w:t xml:space="preserve">месту расположения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автозаправочных станций Поставщика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______.</w:t>
      </w:r>
      <w:r>
        <w:rPr>
          <w:rFonts w:ascii="Times New Roman" w:hAnsi="Times New Roman"/>
          <w:sz w:val="24"/>
          <w:szCs w:val="24"/>
        </w:rPr>
        <w:t xml:space="preserve"> (в соответствии с Приложением № 2)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afterAutospacing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</w:t>
      </w:r>
      <w:r>
        <w:rPr>
          <w:rFonts w:ascii="Times New Roman" w:hAnsi="Times New Roman"/>
          <w:sz w:val="24"/>
          <w:szCs w:val="24"/>
        </w:rPr>
        <w:t xml:space="preserve">Поставка Товара осуществляется </w:t>
      </w:r>
      <w:r>
        <w:rPr>
          <w:rFonts w:ascii="Times New Roman" w:hAnsi="Times New Roman"/>
          <w:sz w:val="24"/>
          <w:szCs w:val="24"/>
        </w:rPr>
        <w:t xml:space="preserve">круглосуточно на условиях отпуска отдельными партиями </w:t>
      </w:r>
      <w:r>
        <w:rPr>
          <w:rFonts w:ascii="Times New Roman" w:hAnsi="Times New Roman"/>
          <w:sz w:val="24"/>
          <w:szCs w:val="24"/>
        </w:rPr>
        <w:t xml:space="preserve">путем заправки автотранспорта получателей Заказчика по микропроцессорным смарт-картам</w:t>
      </w:r>
      <w:r>
        <w:rPr>
          <w:rFonts w:ascii="Times New Roman" w:hAnsi="Times New Roman"/>
          <w:sz w:val="24"/>
          <w:szCs w:val="24"/>
        </w:rPr>
        <w:t xml:space="preserve"> (далее – Карты). Получение Карт оформляется по заявке в соответствии с формой Приложения № 3.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4.Порядок и сроки приемки Товара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4.1. 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объема и качества требованиям, установленным в Контракте. Для приемки Товара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 в соответствии с Законом о контрактной системе. </w:t>
      </w:r>
      <w:r>
        <w:rPr>
          <w:rFonts w:ascii="Times New Roman" w:hAnsi="Times New Roman"/>
          <w:sz w:val="24"/>
          <w:szCs w:val="24"/>
        </w:rPr>
        <w:t xml:space="preserve">Представители Поставщика вправе присутствовать при проведении приемки.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/>
          <w:sz w:val="24"/>
          <w:szCs w:val="24"/>
        </w:rPr>
        <w:t xml:space="preserve">Приемка Товара осуществляется путем передачи Поставщиком Товара и документов, подтверждающих качество Т</w:t>
      </w:r>
      <w:r>
        <w:rPr>
          <w:rFonts w:ascii="Times New Roman" w:hAnsi="Times New Roman"/>
          <w:sz w:val="24"/>
          <w:szCs w:val="24"/>
        </w:rPr>
        <w:t xml:space="preserve">овара в соответствии с законодательством Российской Федерации, предусмотренных Описанием объекта закупки (приложение №1 к Контракту). В случае отсутствия данных документов Заказчик вправе отказаться от приемки Товара. Товар будет считаться не поставленным.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75"/>
        <w:ind w:firstLine="709"/>
        <w:jc w:val="both"/>
        <w:tabs>
          <w:tab w:val="left" w:pos="709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4.3. Приемка Товара по количеству осуществляется Заказчиком в момент поставки (отпуска) Товара через автозаправочные станции Поставщика, указанные в п.3.1 настоящего Контракта. Одновременно проверяется соответствие наименования, ассортимента Товара.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5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 При приемке Товара по качеству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 результатам проведенной экспертизы Заказчик принимает решение о приемке 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отсутствии у Заказчика претензий по количеству, объему и качеству поставленного Товара Заказчик не позднее ______ (___________) рабочих дней, следующих за днем поступления документа о приемке, осуществляет приемку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</w:t>
      </w:r>
      <w:r>
        <w:rPr>
          <w:rFonts w:ascii="Times New Roman" w:hAnsi="Times New Roman"/>
          <w:sz w:val="24"/>
          <w:szCs w:val="24"/>
        </w:rPr>
        <w:t xml:space="preserve">. При выявлении несоответствий в поставленном товаре Заказчик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Контракта, отказывает в приемке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4.8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 Заказчик вправе не отказывать в приемке Товара в случае выявления несоответствия исполнения условиям Контракта, если выявленное несоответствие не препятствует приемке Товара и устранено Поставщиком.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результатов приемки Товара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5.1. Поставщик </w:t>
      </w:r>
      <w:r>
        <w:rPr>
          <w:rFonts w:ascii="Times New Roman" w:hAnsi="Times New Roman"/>
          <w:sz w:val="24"/>
          <w:szCs w:val="24"/>
          <w:highlight w:val="none"/>
        </w:rPr>
        <w:t xml:space="preserve">не</w:t>
      </w:r>
      <w:r>
        <w:rPr>
          <w:rFonts w:ascii="Times New Roman" w:hAnsi="Times New Roman"/>
          <w:sz w:val="24"/>
          <w:szCs w:val="24"/>
          <w:highlight w:val="none"/>
        </w:rPr>
        <w:t xml:space="preserve"> позднее 5 (пяти) рабочих дней с даты окончания поставки Товара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от 30.10.202</w:t>
      </w:r>
      <w:r>
        <w:rPr>
          <w:rFonts w:ascii="Times New Roman" w:hAnsi="Times New Roman"/>
          <w:sz w:val="24"/>
          <w:szCs w:val="24"/>
          <w:highlight w:val="none"/>
        </w:rPr>
        <w:t xml:space="preserve">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Заказчик в срок, указанный в пункте 4.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Товара (этапа)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Поставщику.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Поставщик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</w:t>
      </w:r>
      <w:r>
        <w:rPr>
          <w:rFonts w:ascii="Times New Roman" w:hAnsi="Times New Roman"/>
          <w:sz w:val="24"/>
          <w:szCs w:val="24"/>
        </w:rPr>
        <w:t xml:space="preserve">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</w:t>
      </w:r>
      <w:r>
        <w:rPr>
          <w:rFonts w:ascii="Times New Roman" w:hAnsi="Times New Roman"/>
          <w:sz w:val="24"/>
          <w:szCs w:val="24"/>
          <w:highlight w:val="white"/>
        </w:rPr>
        <w:t xml:space="preserve">Оплата поставленного Товара производится Заказчиком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 формуле, указанн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ой в п 2.1 Контракта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Ежемесячный платеж определяется как произведение отпускной цены Поставщика за единицу поставленного Товара, указанной Поставщиком в документе о приемке, на объём поставленного Товара в этом месяце.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 w:val="0"/>
          <w:bCs w:val="0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</w:t>
      </w:r>
      <w:r>
        <w:rPr>
          <w:rFonts w:ascii="Times New Roman" w:hAnsi="Times New Roman"/>
          <w:sz w:val="24"/>
          <w:szCs w:val="24"/>
          <w:highlight w:val="white"/>
        </w:rPr>
        <w:t xml:space="preserve">Оплата поставленного Товара производится Заказчиком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 формуле, указанн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ой в п 2.1 Контракта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Ежемесячный платеж определяется как произведение отпускной цены Поставщика за единицу поставленного Товара, указанной Поставщиком в документе о приемке, на объём поставленного Товара в этом месяце.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</w:t>
      </w:r>
      <w:r>
        <w:rPr>
          <w:rFonts w:ascii="Times New Roman" w:hAnsi="Times New Roman"/>
          <w:sz w:val="24"/>
          <w:szCs w:val="24"/>
          <w:highlight w:val="white"/>
        </w:rPr>
        <w:t xml:space="preserve">Оплата поставленного Товара производится Заказчиком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по формуле, указанн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ой в п 2.1 Контракта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 (_________) </w:t>
      </w:r>
      <w:r>
        <w:rPr>
          <w:rFonts w:ascii="Times New Roman" w:hAnsi="Times New Roman"/>
          <w:sz w:val="24"/>
          <w:szCs w:val="24"/>
          <w:highlight w:val="whit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</w:t>
      </w:r>
      <w:r>
        <w:rPr>
          <w:rFonts w:ascii="Times New Roman" w:hAnsi="Times New Roman"/>
          <w:sz w:val="24"/>
          <w:szCs w:val="24"/>
          <w:highlight w:val="white"/>
        </w:rPr>
        <w:t xml:space="preserve"> дней с даты подписания Заказчиком документа о приемке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Ежемесячный платеж определяется как произведение отпускной цены Поставщика за единицу поставленного Товара, указанной Поставщиком в документе о приемке, на объём поставленного Товара в этом месяце.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требовать от Поставщика представления надлежащим образом оформленных документов,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осуществлять контроль и надзор за качеством, порядком и сроками поставки Товара, давать указания о способе поставки Товара, не вмешиваясь при этом в оперативно-хозяйственную деятельность Поставщика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7.1.3. отказаться от приемки Товара в случаях, предусмотренных Контрактом и законодательством Российской Федерации, в том числе в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</w:t>
      </w:r>
      <w:r>
        <w:rPr>
          <w:rFonts w:ascii="Times New Roman" w:hAnsi="Times New Roman"/>
          <w:spacing w:val="1"/>
          <w:sz w:val="24"/>
          <w:szCs w:val="24"/>
        </w:rPr>
        <w:t xml:space="preserve">5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Поставщиком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соответствия качества поставленного Товара требованиям, установленным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</w:t>
      </w:r>
      <w:r>
        <w:rPr>
          <w:rFonts w:ascii="Times New Roman" w:hAnsi="Times New Roman"/>
          <w:sz w:val="24"/>
          <w:szCs w:val="24"/>
        </w:rPr>
        <w:t xml:space="preserve">и оплатить </w:t>
      </w:r>
      <w:r>
        <w:rPr>
          <w:rFonts w:ascii="Times New Roman" w:hAnsi="Times New Roman"/>
          <w:sz w:val="24"/>
          <w:szCs w:val="24"/>
        </w:rPr>
        <w:t xml:space="preserve">поставленный Товар надлежащего качества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/>
          <w:sz w:val="24"/>
          <w:szCs w:val="24"/>
          <w:highlight w:val="none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сообщать в письменной форме Поставщику о недостатках, обнаруженных в ходе исполнения Контракта, в течение 5 (пяти) рабочих дней после обнаружения таких недостат</w:t>
      </w:r>
      <w:r>
        <w:rPr>
          <w:rFonts w:ascii="Times New Roman" w:hAnsi="Times New Roman"/>
          <w:sz w:val="24"/>
          <w:szCs w:val="24"/>
        </w:rPr>
        <w:t xml:space="preserve">ков. Заказчик, обнаружив при осуществлении контроля и надзора за ходом исполнения Контракта отступления от условий Контракта, которые могут ухудшить качество Товара, или иные их недостатки, должен в течение 5 (пяти) рабочих дней заявить об этом Поставщику;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4. </w:t>
      </w:r>
      <w:r>
        <w:rPr>
          <w:rFonts w:ascii="Times New Roman" w:hAnsi="Times New Roman"/>
          <w:sz w:val="24"/>
          <w:szCs w:val="24"/>
        </w:rPr>
        <w:t xml:space="preserve">требовать от Поставщика уплаты неустойки за неисполнение или ненадлежащее исполнения Контракта Поставщиком;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 при неоплате Поставщиком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 обеспечить конфиденциальность информации, представленной Поставщиком в 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7.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Поставщик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Заказчиком документа о приемке в порядке, предусмотренном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 требовать своевременной оплаты Заказчиком за поставленный Товар надлежащего качества в соответствии с условиями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7.3.4. принять решение об одностороннем отказе от исполнения Контракта в соответствии с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7.3.5.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Поставщик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 своевременно и надлежащим образом исполнять обязательства в соответствии </w:t>
      </w:r>
      <w:r>
        <w:rPr>
          <w:rFonts w:ascii="Times New Roman" w:hAnsi="Times New Roman"/>
          <w:sz w:val="24"/>
          <w:szCs w:val="24"/>
        </w:rPr>
        <w:t xml:space="preserve">с условиями Контракта и представить предусмотренные Контрактом документы по итогам его исполнения;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 своевременно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Т</w:t>
      </w:r>
      <w:r>
        <w:rPr>
          <w:rFonts w:ascii="Times New Roman" w:hAnsi="Times New Roman"/>
          <w:sz w:val="24"/>
          <w:szCs w:val="24"/>
        </w:rPr>
        <w:t xml:space="preserve">овара требованиям качества, безопасности жизни и здоровья, а также иным требованиям сертификации, безопасности (санитарным нормам и правилам, государственным стандартам, техническим регламентам и т.п.),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Поставщик обязан в течение срока исполнения Контракта представить по запросу Заказчика документы, подтверждающие соответствие указанным выше требованиям;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Товара ненадлежащего качества, осуществляются за счет Поставщика;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</w:rPr>
        <w:t xml:space="preserve"> за свой счет;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обеспечение исполнения Контракта в соответствии с Законом о контрактной системе и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 (одного) рабочего дня информировать Заказчика о невозможности поставить Товар в надлежащем объеме, в предусмотренные Контрактом сроки, надлежащего качества;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представить Заказчику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обеспечить конфиденциальнос</w:t>
      </w:r>
      <w:r>
        <w:rPr>
          <w:rFonts w:ascii="Times New Roman" w:hAnsi="Times New Roman"/>
          <w:sz w:val="24"/>
          <w:szCs w:val="24"/>
        </w:rPr>
        <w:t xml:space="preserve">ть информации, предоставленной Заказчиком в ходе исполнения обязательств по Контракту, за исключением случаев, когда Поставщик в 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7.4.9.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максимальное значение цены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Поставщиком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направляет Поставщику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ждый день просрочки исполнения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бязательства, предусмотренного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сийской Федерации от максимального значения цены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фактически исполненных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неисполнения или 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надлежащего исполнения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за исключением просрочки исполнения обязательств (в том числе гарантийного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бязательства),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</w:t>
      </w:r>
      <w:r>
        <w:rPr>
          <w:rFonts w:ascii="Times New Roman" w:hAnsi="Times New Roman" w:eastAsiaTheme="minorHAnsi"/>
          <w:sz w:val="24"/>
          <w:szCs w:val="24"/>
        </w:rPr>
        <w:t xml:space="preserve"> максимального значения</w:t>
      </w:r>
      <w:r>
        <w:rPr>
          <w:rFonts w:ascii="Times New Roman" w:hAnsi="Times New Roman" w:eastAsiaTheme="minorHAnsi"/>
          <w:sz w:val="24"/>
          <w:szCs w:val="24"/>
        </w:rPr>
        <w:t xml:space="preserve"> 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максимального значения </w:t>
      </w:r>
      <w:r>
        <w:rPr>
          <w:rFonts w:ascii="Times New Roman" w:hAnsi="Times New Roman" w:eastAsiaTheme="minorHAnsi"/>
          <w:sz w:val="24"/>
          <w:szCs w:val="24"/>
        </w:rPr>
        <w:t xml:space="preserve">цены контракта (этапа) в случае,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цены </w:t>
      </w:r>
      <w:r>
        <w:rPr>
          <w:rFonts w:ascii="Times New Roman" w:hAnsi="Times New Roman" w:eastAsiaTheme="minorHAnsi"/>
          <w:sz w:val="24"/>
          <w:szCs w:val="24"/>
        </w:rPr>
        <w:t xml:space="preserve">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6. За каждый факт неисполнения или 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надлежащего исполнения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бязательства, предусмотренного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онтрактом,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</w:t>
      </w:r>
      <w:r>
        <w:rPr>
          <w:rFonts w:ascii="Times New Roman" w:hAnsi="Times New Roman" w:eastAsiaTheme="minorHAnsi"/>
          <w:sz w:val="24"/>
          <w:szCs w:val="24"/>
        </w:rPr>
        <w:t xml:space="preserve">максимальное значение </w:t>
      </w:r>
      <w:r>
        <w:rPr>
          <w:rFonts w:ascii="Times New Roman" w:hAnsi="Times New Roman" w:eastAsiaTheme="minorHAnsi"/>
          <w:sz w:val="24"/>
          <w:szCs w:val="24"/>
        </w:rPr>
        <w:t xml:space="preserve">цен</w:t>
      </w:r>
      <w:r>
        <w:rPr>
          <w:rFonts w:ascii="Times New Roman" w:hAnsi="Times New Roman" w:eastAsiaTheme="minorHAnsi"/>
          <w:sz w:val="24"/>
          <w:szCs w:val="24"/>
        </w:rPr>
        <w:t xml:space="preserve">ы</w:t>
      </w:r>
      <w:r>
        <w:rPr>
          <w:rFonts w:ascii="Times New Roman" w:hAnsi="Times New Roman" w:eastAsiaTheme="minorHAnsi"/>
          <w:sz w:val="24"/>
          <w:szCs w:val="24"/>
        </w:rPr>
        <w:t xml:space="preserve">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7.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ие или ненадлежащее исполнение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оставщиком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обязательств,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ненадлежаще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 исполнение 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аказчиком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обязательств, предусмотренных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онтр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актом, не может превышать максимального значения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</w:t>
      </w:r>
      <w:r>
        <w:rPr>
          <w:rFonts w:ascii="Times New Roman" w:hAnsi="Times New Roman"/>
          <w:sz w:val="24"/>
          <w:szCs w:val="24"/>
        </w:rPr>
        <w:t xml:space="preserve">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</w:t>
      </w:r>
      <w:r>
        <w:rPr>
          <w:rFonts w:ascii="Times New Roman" w:hAnsi="Times New Roman"/>
          <w:sz w:val="24"/>
          <w:szCs w:val="24"/>
        </w:rPr>
        <w:t xml:space="preserve">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</w:t>
      </w:r>
      <w:r>
        <w:rPr>
          <w:rFonts w:ascii="Times New Roman" w:hAnsi="Times New Roman"/>
          <w:sz w:val="24"/>
          <w:szCs w:val="24"/>
        </w:rPr>
        <w:t xml:space="preserve">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 Обеспечение исполнения Контракта предусмотрено для обеспечения исполнения Поставщи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в том числе таких обязательств как поставка Товара надлежащего качества, соблюдение сроков поставки Товара,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</w:t>
      </w:r>
      <w:r>
        <w:rPr>
          <w:rFonts w:ascii="Times New Roman" w:hAnsi="Times New Roman"/>
          <w:sz w:val="24"/>
          <w:szCs w:val="24"/>
        </w:rPr>
        <w:t xml:space="preserve">и, или внесение</w:t>
      </w:r>
      <w:r>
        <w:rPr>
          <w:rFonts w:ascii="Times New Roman" w:hAnsi="Times New Roman"/>
          <w:sz w:val="24"/>
          <w:szCs w:val="24"/>
        </w:rPr>
        <w:t xml:space="preserve">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Поставщиком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_______) рублей ___ копеек.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 В ходе исполнения Контракта Поставщик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</w:t>
      </w:r>
      <w:r>
        <w:rPr>
          <w:rFonts w:ascii="Times New Roman" w:hAnsi="Times New Roman"/>
          <w:sz w:val="24"/>
          <w:szCs w:val="24"/>
        </w:rPr>
        <w:t xml:space="preserve">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Поставщиком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</w:t>
      </w:r>
      <w:r>
        <w:rPr>
          <w:rFonts w:ascii="Times New Roman" w:hAnsi="Times New Roman"/>
          <w:sz w:val="24"/>
          <w:szCs w:val="24"/>
        </w:rPr>
        <w:t xml:space="preserve">оставщик</w:t>
      </w:r>
      <w:r>
        <w:rPr>
          <w:rFonts w:ascii="Times New Roman" w:hAnsi="Times New Roman"/>
          <w:sz w:val="24"/>
          <w:szCs w:val="24"/>
        </w:rPr>
        <w:t xml:space="preserve">ом его обязательств по Контракту, </w:t>
      </w:r>
      <w:r>
        <w:rPr>
          <w:rFonts w:ascii="Times New Roman" w:hAnsi="Times New Roman"/>
          <w:sz w:val="24"/>
          <w:szCs w:val="24"/>
        </w:rPr>
        <w:t xml:space="preserve">Поставщ</w:t>
      </w:r>
      <w:r>
        <w:rPr>
          <w:rFonts w:ascii="Times New Roman" w:hAnsi="Times New Roman"/>
          <w:sz w:val="24"/>
          <w:szCs w:val="24"/>
        </w:rPr>
        <w:t xml:space="preserve">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 обязуется предоставить новое обеспечение исполнения Контракта не позднее одного месяца со дня надлежащего уведомления Заказчиком По</w:t>
      </w:r>
      <w:r>
        <w:rPr>
          <w:rFonts w:ascii="Times New Roman" w:hAnsi="Times New Roman"/>
          <w:sz w:val="24"/>
          <w:szCs w:val="24"/>
        </w:rPr>
        <w:t xml:space="preserve">ставщика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осрочки исполнения поставщиком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обязательства, предусмотренного частью 30 ст. 34 Закона о контрактной системе,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статьи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</w:t>
      </w:r>
      <w:r>
        <w:rPr>
          <w:rFonts w:ascii="Times New Roman" w:hAnsi="Times New Roman"/>
          <w:sz w:val="24"/>
          <w:szCs w:val="24"/>
        </w:rPr>
        <w:t xml:space="preserve">ого в п. 9.4 Контракта, признается существенным нарушением Контракта Поставщиком и является основанием для расторжения Контракта. При этом Заказчик вправе потребовать от Поставщика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 В случае надлежащего исполнения Поставщиком обязательств по Контракту 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подлежит возврату Поставщику. Заказчик осуществляет возврат денежных</w:t>
      </w:r>
      <w:r>
        <w:rPr>
          <w:rFonts w:ascii="Times New Roman" w:hAnsi="Times New Roman"/>
          <w:sz w:val="24"/>
          <w:szCs w:val="24"/>
        </w:rPr>
        <w:t xml:space="preserve"> средств на расчетный счет Поставщика, указанный в Контракте, после поставки всего количества Товара в течение 15 (пятнадцати) дней с даты подписания Заказчиком документа о приемке,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</w:t>
      </w:r>
      <w:r>
        <w:rPr>
          <w:rFonts w:ascii="Times New Roman" w:hAnsi="Times New Roman"/>
          <w:sz w:val="24"/>
          <w:szCs w:val="24"/>
        </w:rPr>
        <w:t xml:space="preserve"> исполнения Контракта в порядке и случаях, установленных</w:t>
      </w:r>
      <w:r>
        <w:rPr>
          <w:rFonts w:ascii="Times New Roman" w:hAnsi="Times New Roman"/>
          <w:sz w:val="24"/>
          <w:szCs w:val="24"/>
        </w:rPr>
        <w:t xml:space="preserve"> Законом о контрактной системе, часть денежных средств, внесенная Поставщик</w:t>
      </w:r>
      <w:r>
        <w:rPr>
          <w:rFonts w:ascii="Times New Roman" w:hAnsi="Times New Roman"/>
          <w:sz w:val="24"/>
          <w:szCs w:val="24"/>
        </w:rPr>
        <w:t xml:space="preserve">ом в качестве обеспечения исполнения контракта, по заявлению Поставщика подлежит возврату Поставщику в течение 15 (пятнадцати) 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Поставщиком.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Поставщика или 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Все затраты, связанные с заключением и оформлением договоров и иных документов по обеспечению исполнения Контракта,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Поставщик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10.Гарантии качества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10.1. Поставщик гара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нтирует соответствие качества поставляемого Товара действующим стандартам, установленным на данный вид Товара, и предоставлением паспорта качества, обязательного для данного вида Товара, оформленного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10.2. Качество Товара, поставля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емого по настоящему Контракту,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10.3. 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недостачи и (или) поставки некачественного Товара Поставщик по требованию Заказчика производит допоставку и (или) замену некачественного Товара в течение 24-х часов с момента, когда Поставщику стало известно о недостаче или поставке некачественного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.Срок исполнения,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.3. 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.4. В случаях, установленных Законом о контрактной системе, Заказчик обязано принять решение об одностороннем отказе от исполнения контракта.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5. 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по основаниям, предусмот</w:t>
      </w:r>
      <w:r>
        <w:rPr>
          <w:rFonts w:ascii="Times New Roman" w:hAnsi="Times New Roman"/>
          <w:sz w:val="24"/>
          <w:szCs w:val="24"/>
          <w:lang w:eastAsia="ru-RU"/>
        </w:rPr>
        <w:t xml:space="preserve">ренным Гражданским кодексом Российской Федерации для одностороннего отказа от исполнения договора купли-продажи и отдельных видов договоров купли-продажи (поставка товаров, поставка товаров для государственных нужд и др.), в том числе в следующих случаях: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.5.1. </w:t>
      </w:r>
      <w:r>
        <w:rPr>
          <w:rFonts w:ascii="Times New Roman" w:hAnsi="Times New Roman"/>
          <w:sz w:val="24"/>
          <w:szCs w:val="24"/>
        </w:rPr>
        <w:t xml:space="preserve">При существенном нарушении Контракта Поставщиком (пункт 1 статьи 523 ГК 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.5.2.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Заказчика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.5.3.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.5.4.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Поставщиком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.5.5. Если Поставщик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/>
          <w:sz w:val="24"/>
          <w:szCs w:val="24"/>
          <w:lang w:eastAsia="ru-RU"/>
        </w:rPr>
        <w:t xml:space="preserve">.5.6. Если Поставщик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.6. Поставщик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.7. Настоящий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.3. До передачи спора на разрешение Арбитражного суда Новосибирско</w:t>
      </w:r>
      <w:r>
        <w:rPr>
          <w:rFonts w:ascii="Times New Roman" w:hAnsi="Times New Roman"/>
          <w:sz w:val="24"/>
          <w:szCs w:val="24"/>
        </w:rPr>
        <w:t xml:space="preserve">й области 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лучае отсутствия у Поставщика на дату заключения Контракта лицевого счета (раздела на лицевом счете) в территориальном органе Федерального казначейства, Поставщик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Поставщ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Поставщиком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Поставщиком,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документов-оснований, в том числе сформированных в форме электронных документов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Поставщик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 </w:t>
      </w:r>
      <w:r>
        <w:rPr>
          <w:rFonts w:ascii="Times New Roman" w:hAnsi="Times New Roman"/>
          <w:sz w:val="24"/>
          <w:szCs w:val="24"/>
          <w:highlight w:val="white"/>
        </w:rPr>
        <w:t xml:space="preserve">(далее - Постановление Правительства № 963)</w:t>
      </w:r>
      <w:r/>
      <w:r>
        <w:rPr>
          <w:rFonts w:ascii="Times New Roman" w:hAnsi="Times New Roman"/>
          <w:sz w:val="24"/>
          <w:szCs w:val="24"/>
          <w:highlight w:val="white"/>
        </w:rPr>
        <w:t xml:space="preserve">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Поставщиком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Поставщиком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</w:t>
      </w:r>
      <w:r>
        <w:rPr>
          <w:rFonts w:ascii="Times New Roman" w:hAnsi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/>
          <w:sz w:val="24"/>
          <w:szCs w:val="24"/>
          <w:highlight w:val="white"/>
        </w:rPr>
        <w:t xml:space="preserve">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 выбирает </w:t>
      </w:r>
      <w:r>
        <w:rPr>
          <w:rFonts w:ascii="Times New Roman" w:hAnsi="Times New Roman"/>
          <w:sz w:val="24"/>
          <w:szCs w:val="24"/>
          <w:highlight w:val="white"/>
        </w:rPr>
        <w:t xml:space="preserve">иной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в порядке, установленном Постановлением Правительства № 963</w:t>
      </w:r>
      <w:r>
        <w:rPr>
          <w:rFonts w:ascii="Times New Roman" w:hAnsi="Times New Roman"/>
          <w:sz w:val="24"/>
          <w:szCs w:val="24"/>
          <w:highlight w:val="white"/>
        </w:rPr>
        <w:t xml:space="preserve"> и заключает с ним договор о банковском сопровождении в соответствии с законодательством Российской Федерации.</w:t>
      </w:r>
      <w:r/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Поставщику,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Поставщика,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ж) ответственность сторон в случае нарушения условий, установленных договором о банковском сопровождении.</w:t>
      </w:r>
      <w:r/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Поставщик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Поставщик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 (например, при заключении договора контрагент является правообладателем поставляемых товаров). Поставщик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5.Прочие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5.1. Все уведомления, связанные с исполнением Контракта, направляются в письменной форме по почте заказным письмом с уведомлением о вручении по адресу получателя, указанному </w:t>
      </w:r>
      <w:r>
        <w:rPr>
          <w:rFonts w:ascii="Times New Roman" w:hAnsi="Times New Roman"/>
          <w:sz w:val="24"/>
          <w:szCs w:val="24"/>
          <w:highlight w:val="white"/>
        </w:rPr>
        <w:t xml:space="preserve">в Контракте, или с использованием </w:t>
      </w:r>
      <w:r>
        <w:rPr>
          <w:rFonts w:ascii="Times New Roman" w:hAnsi="Times New Roman"/>
          <w:sz w:val="24"/>
          <w:szCs w:val="24"/>
        </w:rPr>
        <w:t xml:space="preserve">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5.4. При исполнении Контракта не допускается перемена Поставщика, за исключением случаев, если новый поставщик является правопреемником Поставщика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5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«Список АЗС»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«Форма заявки на получение Карт»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7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ОБЪЕКТА ЗАКУПКИ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jc w:val="both"/>
        <w:spacing w:after="0"/>
        <w:widowControl w:val="off"/>
        <w:tabs>
          <w:tab w:val="left" w:pos="5460" w:leader="none"/>
        </w:tabs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eastAsiaTheme="minorHAnsi" w:cstheme="minorBidi"/>
          <w:sz w:val="24"/>
          <w:szCs w:val="24"/>
        </w:rPr>
        <w:t xml:space="preserve">Приложение № 1</w:t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Theme="minorHAnsi" w:cstheme="minorBidi"/>
          <w:sz w:val="24"/>
          <w:szCs w:val="24"/>
        </w:rPr>
      </w:pPr>
      <w:r>
        <w:rPr>
          <w:rFonts w:ascii="Times New Roman" w:hAnsi="Times New Roman" w:eastAsiaTheme="minorHAnsi" w:cstheme="minorBidi"/>
          <w:sz w:val="24"/>
          <w:szCs w:val="24"/>
        </w:rPr>
        <w:t xml:space="preserve">к Описанию объекта закупки</w:t>
      </w:r>
      <w:r>
        <w:rPr>
          <w:rFonts w:ascii="Times New Roman" w:hAnsi="Times New Roman" w:eastAsiaTheme="minorHAnsi" w:cstheme="minorBidi"/>
          <w:sz w:val="24"/>
          <w:szCs w:val="24"/>
        </w:rPr>
      </w:r>
      <w:r>
        <w:rPr>
          <w:rFonts w:ascii="Times New Roman" w:hAnsi="Times New Roman" w:eastAsiaTheme="minorHAnsi" w:cstheme="minorBidi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 w:cstheme="minorBidi"/>
          <w:b/>
          <w:sz w:val="24"/>
          <w:szCs w:val="24"/>
        </w:rPr>
      </w:pP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Theme="minorHAnsi" w:cstheme="minorBidi"/>
          <w:b/>
          <w:sz w:val="24"/>
          <w:szCs w:val="24"/>
        </w:rPr>
      </w:pPr>
      <w:r>
        <w:rPr>
          <w:rFonts w:ascii="Times New Roman" w:hAnsi="Times New Roman" w:eastAsiaTheme="minorHAnsi" w:cstheme="minorBidi"/>
          <w:b/>
          <w:sz w:val="24"/>
          <w:szCs w:val="24"/>
        </w:rPr>
        <w:t xml:space="preserve">Перечень единиц товара</w:t>
      </w:r>
      <w:r>
        <w:rPr>
          <w:rFonts w:ascii="Times New Roman" w:hAnsi="Times New Roman" w:eastAsiaTheme="minorHAnsi" w:cstheme="minorBidi"/>
          <w:b/>
          <w:sz w:val="24"/>
          <w:szCs w:val="24"/>
        </w:rPr>
      </w:r>
      <w:r>
        <w:rPr>
          <w:rFonts w:ascii="Times New Roman" w:hAnsi="Times New Roman" w:eastAsiaTheme="minorHAnsi" w:cstheme="minorBidi"/>
          <w:b/>
          <w:sz w:val="24"/>
          <w:szCs w:val="24"/>
        </w:rPr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75"/>
        <w:gridCol w:w="4371"/>
        <w:gridCol w:w="1829"/>
        <w:gridCol w:w="2552"/>
      </w:tblGrid>
      <w:tr>
        <w:tblPrEx/>
        <w:trPr>
          <w:trHeight w:val="4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№ п/п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Ед. изм.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 w:cstheme="minorBidi"/>
                <w:b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Цена единицы товара,</w:t>
            </w:r>
            <w:r>
              <w:rPr>
                <w:rFonts w:ascii="Times New Roman" w:hAnsi="Times New Roman" w:eastAsiaTheme="minorHAnsi" w:cstheme="minorBidi"/>
                <w:b/>
                <w:lang w:eastAsia="en-US"/>
              </w:rPr>
            </w:r>
            <w:r>
              <w:rPr>
                <w:rFonts w:ascii="Times New Roman" w:hAnsi="Times New Roman" w:eastAsiaTheme="minorHAnsi" w:cstheme="minorBidi"/>
                <w:b/>
                <w:lang w:eastAsia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HAnsi" w:cstheme="minorBidi"/>
                <w:b/>
              </w:rPr>
              <w:t xml:space="preserve">руб.</w:t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b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2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7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theme="minorBid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75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  <w:t xml:space="preserve">Сумма цен единиц </w:t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  <w:t xml:space="preserve">товара</w:t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  <w:r>
              <w:rPr>
                <w:rFonts w:ascii="Times New Roman" w:hAnsi="Times New Roman" w:eastAsiaTheme="minorHAnsi" w:cstheme="minorBidi"/>
                <w:b/>
                <w:sz w:val="24"/>
                <w:szCs w:val="24"/>
              </w:rPr>
            </w:r>
          </w:p>
        </w:tc>
      </w:tr>
    </w:tbl>
    <w:p>
      <w:pPr>
        <w:spacing w:line="240" w:lineRule="auto"/>
        <w:rPr>
          <w:rFonts w:ascii="Times New Roman" w:hAnsi="Times New Roman" w:eastAsiaTheme="minorHAnsi" w:cstheme="minorBidi"/>
          <w:b/>
          <w:i/>
          <w:sz w:val="24"/>
          <w:szCs w:val="24"/>
        </w:rPr>
      </w:pP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  <w:r>
        <w:rPr>
          <w:rFonts w:ascii="Times New Roman" w:hAnsi="Times New Roman" w:eastAsiaTheme="minorHAnsi" w:cstheme="minorBidi"/>
          <w:b/>
          <w:i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7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 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5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Контракту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387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387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СПИСОК АЗС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ind w:hanging="810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992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6"/>
        <w:gridCol w:w="6917"/>
      </w:tblGrid>
      <w:tr>
        <w:tblPrEx/>
        <w:trPr>
          <w:trHeight w:val="718" w:hRule="exact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ind w:left="134" w:right="96" w:hanging="10"/>
              <w:jc w:val="center"/>
              <w:spacing w:after="0" w:line="235" w:lineRule="exact"/>
              <w:shd w:val="clear" w:color="auto" w:fill="ffffff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Марка нефтепродукта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17" w:type="dxa"/>
            <w:vAlign w:val="center"/>
            <w:textDirection w:val="lrTb"/>
            <w:noWrap w:val="false"/>
          </w:tcPr>
          <w:p>
            <w:pPr>
              <w:ind w:left="43" w:right="48"/>
              <w:jc w:val="center"/>
              <w:spacing w:after="0" w:line="230" w:lineRule="exact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Адрес и номер АЗС, где производится получение товара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55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5460" w:leader="none"/>
        </w:tabs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80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lef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5"/>
        <w:jc w:val="righ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 20__ г. №______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ФОРМА ЗАЯВКИ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 получение Карт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Заказчик: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Поставщик: 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ИНН Заказчика: 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375" w:leader="none"/>
          <w:tab w:val="left" w:pos="705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Для получения Товара в 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орговых точках, Заказчик просит Поставщика произвести выпуск и предоставить Заказчику ______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арт.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tabs>
          <w:tab w:val="left" w:pos="375" w:leader="none"/>
          <w:tab w:val="left" w:pos="705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Заказчик устанавливает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нижеследующие специальные условия использования каждой конкретной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арты: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tbl>
      <w:tblPr>
        <w:tblW w:w="981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2466"/>
        <w:gridCol w:w="1778"/>
        <w:gridCol w:w="993"/>
        <w:gridCol w:w="1059"/>
        <w:gridCol w:w="1408"/>
        <w:gridCol w:w="1440"/>
      </w:tblGrid>
      <w:tr>
        <w:tblPrEx/>
        <w:trPr>
          <w:jc w:val="center"/>
          <w:trHeight w:val="3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W w:w="6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246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vAlign w:val="center"/>
            <w:vMerge w:val="restart"/>
            <w:textDirection w:val="lrTb"/>
            <w:noWrap w:val="false"/>
          </w:tcPr>
          <w:p>
            <w:pPr>
              <w:ind w:left="214" w:right="-637"/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2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Держатель Карты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Разрешенный к получению вид /сорт Товара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Вид Лимита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Размер лимита 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рублях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Пин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-код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5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246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Суточ-ный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9" w:type="dxa"/>
            <w:textDirection w:val="lrTb"/>
            <w:noWrap w:val="false"/>
          </w:tcPr>
          <w:p>
            <w:pPr>
              <w:jc w:val="center"/>
              <w:spacing w:before="60" w:after="0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Месяч-ный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02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668" w:type="dxa"/>
            <w:textDirection w:val="lrTb"/>
            <w:noWrap w:val="false"/>
          </w:tcPr>
          <w:p>
            <w:pPr>
              <w:ind w:left="214" w:right="-637"/>
              <w:jc w:val="both"/>
              <w:spacing w:after="0"/>
              <w:widowControl w:val="off"/>
              <w:tabs>
                <w:tab w:val="left" w:pos="720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08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40" w:type="dxa"/>
            <w:textDirection w:val="lrTb"/>
            <w:noWrap w:val="false"/>
          </w:tcPr>
          <w:p>
            <w:pPr>
              <w:numPr>
                <w:ilvl w:val="0"/>
                <w:numId w:val="0"/>
              </w:numPr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 Заказчик назначает Ответственное лицо по контракту с Поставщиком: 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Телефон Ответственного лица или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 Дата заявки________________________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tbl>
      <w:tblPr>
        <w:tblW w:w="50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40"/>
      </w:tblGrid>
      <w:tr>
        <w:tblPrEx/>
        <w:trPr/>
        <w:tc>
          <w:tcPr>
            <w:tcW w:w="5040" w:type="dxa"/>
            <w:textDirection w:val="lrTb"/>
            <w:noWrap w:val="false"/>
          </w:tcPr>
          <w:p>
            <w:pPr>
              <w:ind w:right="-1"/>
              <w:spacing w:after="4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252" w:right="-1"/>
              <w:spacing w:after="4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________________________/____________/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left="252" w:right="-1"/>
              <w:jc w:val="both"/>
              <w:spacing w:after="40"/>
              <w:widowControl w:val="off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м.п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i/>
          <w:u w:val="single"/>
          <w:lang w:eastAsia="ru-RU"/>
        </w:rPr>
      </w:pPr>
      <w:r>
        <w:rPr>
          <w:rFonts w:ascii="Times New Roman" w:hAnsi="Times New Roman" w:eastAsia="Times New Roman"/>
          <w:i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i/>
          <w:u w:val="single"/>
          <w:lang w:eastAsia="ru-RU"/>
        </w:rPr>
      </w:r>
      <w:r>
        <w:rPr>
          <w:rFonts w:ascii="Times New Roman" w:hAnsi="Times New Roman" w:eastAsia="Times New Roman"/>
          <w:i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2 указывается одно из перечисленного: номер машины, Ф.И.О</w:t>
      </w:r>
      <w:r>
        <w:rPr>
          <w:rFonts w:ascii="Times New Roman" w:hAnsi="Times New Roman" w:eastAsia="Times New Roman"/>
          <w:i/>
          <w:lang w:eastAsia="ru-RU"/>
        </w:rPr>
        <w:t xml:space="preserve"> (отчеств</w:t>
      </w:r>
      <w:r>
        <w:rPr>
          <w:rFonts w:ascii="Times New Roman" w:hAnsi="Times New Roman" w:eastAsia="Times New Roman"/>
          <w:i/>
          <w:lang w:eastAsia="ru-RU"/>
        </w:rPr>
        <w:t xml:space="preserve">о</w:t>
      </w:r>
      <w:r>
        <w:rPr>
          <w:rFonts w:ascii="Times New Roman" w:hAnsi="Times New Roman" w:eastAsia="Times New Roman"/>
          <w:i/>
          <w:lang w:eastAsia="ru-RU"/>
        </w:rPr>
        <w:t xml:space="preserve"> – при наличии)</w:t>
      </w:r>
      <w:r>
        <w:rPr>
          <w:rFonts w:ascii="Times New Roman" w:hAnsi="Times New Roman" w:eastAsia="Times New Roman"/>
          <w:i/>
          <w:lang w:eastAsia="ru-RU"/>
        </w:rPr>
        <w:t xml:space="preserve"> водителя или любая другая информация необходимая Заказчику в отчетах.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3 допускается указание нескольких видов топлива на одной карте.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4 заполняется один из столбцов в соответствии с выбором Заказчика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5 указывается количество рублей, которым ограничивается лимит, для каждой карты.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lang w:eastAsia="ru-RU"/>
        </w:rPr>
      </w:pPr>
      <w:r>
        <w:rPr>
          <w:rFonts w:ascii="Times New Roman" w:hAnsi="Times New Roman" w:eastAsia="Times New Roman"/>
          <w:i/>
          <w:lang w:eastAsia="ru-RU"/>
        </w:rPr>
        <w:t xml:space="preserve">В графе 6 указывается </w:t>
      </w:r>
      <w:r>
        <w:rPr>
          <w:rFonts w:ascii="Times New Roman" w:hAnsi="Times New Roman" w:eastAsia="Times New Roman"/>
          <w:i/>
          <w:lang w:eastAsia="ru-RU"/>
        </w:rPr>
        <w:t xml:space="preserve">пин</w:t>
      </w:r>
      <w:r>
        <w:rPr>
          <w:rFonts w:ascii="Times New Roman" w:hAnsi="Times New Roman" w:eastAsia="Times New Roman"/>
          <w:i/>
          <w:lang w:eastAsia="ru-RU"/>
        </w:rPr>
        <w:t xml:space="preserve">-код для его установки на карту.</w:t>
      </w:r>
      <w:r>
        <w:rPr>
          <w:rFonts w:ascii="Times New Roman" w:hAnsi="Times New Roman" w:eastAsia="Times New Roman"/>
          <w:i/>
          <w:lang w:eastAsia="ru-RU"/>
        </w:rPr>
      </w:r>
      <w:r>
        <w:rPr>
          <w:rFonts w:ascii="Times New Roman" w:hAnsi="Times New Roman" w:eastAsia="Times New Roman"/>
          <w:i/>
          <w:lang w:eastAsia="ru-RU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_______________/ 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955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956" w:type="dxa"/>
            <w:textDirection w:val="lrTb"/>
            <w:noWrap w:val="false"/>
          </w:tcPr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«___» _______________ 20__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8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mbria Math">
    <w:panose1 w:val="02000603000000000000"/>
  </w:font>
  <w:font w:name="Courier New">
    <w:panose1 w:val="02070309020205020404"/>
  </w:font>
  <w:font w:name="Mangal">
    <w:panose1 w:val="02040503050406030204"/>
  </w:font>
  <w:font w:name="Microsoft YaHei">
    <w:panose1 w:val="020B0503020203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19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4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5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4314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96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31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60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707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428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137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4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3"/>
    <w:next w:val="85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4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4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4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4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4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4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4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3"/>
    <w:next w:val="853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4"/>
    <w:link w:val="699"/>
    <w:uiPriority w:val="10"/>
    <w:rPr>
      <w:sz w:val="48"/>
      <w:szCs w:val="48"/>
    </w:rPr>
  </w:style>
  <w:style w:type="paragraph" w:styleId="701">
    <w:name w:val="Subtitle"/>
    <w:basedOn w:val="853"/>
    <w:next w:val="853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4"/>
    <w:link w:val="701"/>
    <w:uiPriority w:val="11"/>
    <w:rPr>
      <w:sz w:val="24"/>
      <w:szCs w:val="24"/>
    </w:rPr>
  </w:style>
  <w:style w:type="paragraph" w:styleId="703">
    <w:name w:val="Quote"/>
    <w:basedOn w:val="853"/>
    <w:next w:val="853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3"/>
    <w:next w:val="853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4"/>
    <w:link w:val="881"/>
    <w:uiPriority w:val="99"/>
  </w:style>
  <w:style w:type="character" w:styleId="708">
    <w:name w:val="Footer Char"/>
    <w:basedOn w:val="854"/>
    <w:link w:val="883"/>
    <w:uiPriority w:val="99"/>
  </w:style>
  <w:style w:type="paragraph" w:styleId="709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83"/>
    <w:uiPriority w:val="99"/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character" w:styleId="857" w:customStyle="1">
    <w:name w:val="Основной шрифт абзаца1"/>
  </w:style>
  <w:style w:type="character" w:styleId="858" w:customStyle="1">
    <w:name w:val="Текст выноски Знак"/>
    <w:rPr>
      <w:rFonts w:ascii="Tahoma" w:hAnsi="Tahoma" w:cs="Tahoma"/>
      <w:sz w:val="16"/>
      <w:szCs w:val="16"/>
    </w:rPr>
  </w:style>
  <w:style w:type="character" w:styleId="859" w:customStyle="1">
    <w:name w:val="Знак примечания1"/>
    <w:rPr>
      <w:sz w:val="16"/>
      <w:szCs w:val="16"/>
    </w:rPr>
  </w:style>
  <w:style w:type="character" w:styleId="860" w:customStyle="1">
    <w:name w:val="Текст примечания Знак"/>
  </w:style>
  <w:style w:type="character" w:styleId="861" w:customStyle="1">
    <w:name w:val="Тема примечания Знак"/>
    <w:rPr>
      <w:b/>
      <w:bCs/>
    </w:rPr>
  </w:style>
  <w:style w:type="character" w:styleId="862" w:customStyle="1">
    <w:name w:val="Основной текст Знак"/>
    <w:rPr>
      <w:rFonts w:ascii="Times New Roman" w:hAnsi="Times New Roman" w:eastAsia="Times New Roman" w:cs="Times New Roman"/>
      <w:color w:val="000000"/>
      <w:sz w:val="24"/>
    </w:rPr>
  </w:style>
  <w:style w:type="character" w:styleId="863">
    <w:name w:val="Hyperlink"/>
    <w:rPr>
      <w:color w:val="000080"/>
      <w:u w:val="single"/>
    </w:rPr>
  </w:style>
  <w:style w:type="character" w:styleId="864" w:customStyle="1">
    <w:name w:val="Символ нумерации"/>
  </w:style>
  <w:style w:type="paragraph" w:styleId="865" w:customStyle="1">
    <w:name w:val="Заголовок1"/>
    <w:basedOn w:val="853"/>
    <w:next w:val="866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6">
    <w:name w:val="Body Text"/>
    <w:basedOn w:val="853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</w:rPr>
  </w:style>
  <w:style w:type="paragraph" w:styleId="867">
    <w:name w:val="List"/>
    <w:basedOn w:val="866"/>
    <w:rPr>
      <w:rFonts w:cs="Mangal"/>
    </w:rPr>
  </w:style>
  <w:style w:type="paragraph" w:styleId="868" w:customStyle="1">
    <w:name w:val="Название1"/>
    <w:basedOn w:val="85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9" w:customStyle="1">
    <w:name w:val="Указатель1"/>
    <w:basedOn w:val="853"/>
    <w:pPr>
      <w:suppressLineNumbers/>
    </w:pPr>
    <w:rPr>
      <w:rFonts w:cs="Mangal"/>
    </w:rPr>
  </w:style>
  <w:style w:type="paragraph" w:styleId="870">
    <w:name w:val="Balloon Text"/>
    <w:basedOn w:val="8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71" w:customStyle="1">
    <w:name w:val="Текст примечания1"/>
    <w:basedOn w:val="853"/>
    <w:rPr>
      <w:sz w:val="20"/>
      <w:szCs w:val="20"/>
    </w:rPr>
  </w:style>
  <w:style w:type="paragraph" w:styleId="872">
    <w:name w:val="annotation subject"/>
    <w:basedOn w:val="871"/>
    <w:next w:val="871"/>
    <w:rPr>
      <w:b/>
      <w:bCs/>
    </w:rPr>
  </w:style>
  <w:style w:type="paragraph" w:styleId="873" w:customStyle="1">
    <w:name w:val="ConsPlusNormal"/>
    <w:link w:val="891"/>
    <w:uiPriority w:val="99"/>
    <w:rPr>
      <w:rFonts w:ascii="Arial" w:hAnsi="Arial" w:cs="Arial"/>
      <w:lang w:eastAsia="ar-SA"/>
    </w:rPr>
  </w:style>
  <w:style w:type="paragraph" w:styleId="874" w:customStyle="1">
    <w:name w:val="Обычный + по ширине"/>
    <w:basedOn w:val="853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5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76" w:customStyle="1">
    <w:name w:val="FR1"/>
    <w:basedOn w:val="853"/>
    <w:pPr>
      <w:ind w:left="40" w:firstLine="120"/>
      <w:jc w:val="both"/>
      <w:spacing w:after="0" w:line="252" w:lineRule="auto"/>
    </w:pPr>
    <w:rPr>
      <w:rFonts w:ascii="Times New Roman" w:hAnsi="Times New Roman" w:eastAsia="Times New Roman"/>
      <w:sz w:val="28"/>
      <w:szCs w:val="28"/>
    </w:rPr>
  </w:style>
  <w:style w:type="paragraph" w:styleId="877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8" w:customStyle="1">
    <w:name w:val="Содержимое таблицы"/>
    <w:basedOn w:val="853"/>
    <w:pPr>
      <w:suppressLineNumbers/>
    </w:pPr>
  </w:style>
  <w:style w:type="paragraph" w:styleId="879" w:customStyle="1">
    <w:name w:val="Заголовок таблицы"/>
    <w:basedOn w:val="878"/>
    <w:pPr>
      <w:jc w:val="center"/>
    </w:pPr>
    <w:rPr>
      <w:b/>
      <w:bCs/>
    </w:rPr>
  </w:style>
  <w:style w:type="table" w:styleId="880">
    <w:name w:val="Table Grid"/>
    <w:basedOn w:val="855"/>
    <w:uiPriority w:val="3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>
    <w:name w:val="Header"/>
    <w:basedOn w:val="853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link w:val="881"/>
    <w:uiPriority w:val="99"/>
    <w:rPr>
      <w:rFonts w:ascii="Calibri" w:hAnsi="Calibri" w:eastAsia="Calibri"/>
      <w:sz w:val="22"/>
      <w:szCs w:val="22"/>
      <w:lang w:eastAsia="ar-SA"/>
    </w:rPr>
  </w:style>
  <w:style w:type="paragraph" w:styleId="883">
    <w:name w:val="Footer"/>
    <w:basedOn w:val="853"/>
    <w:link w:val="8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link w:val="883"/>
    <w:uiPriority w:val="99"/>
    <w:rPr>
      <w:rFonts w:ascii="Calibri" w:hAnsi="Calibri" w:eastAsia="Calibri"/>
      <w:sz w:val="22"/>
      <w:szCs w:val="22"/>
      <w:lang w:eastAsia="ar-SA"/>
    </w:rPr>
  </w:style>
  <w:style w:type="paragraph" w:styleId="885">
    <w:name w:val="List Paragraph"/>
    <w:basedOn w:val="853"/>
    <w:uiPriority w:val="34"/>
    <w:qFormat/>
    <w:pPr>
      <w:contextualSpacing/>
      <w:ind w:left="720"/>
    </w:pPr>
  </w:style>
  <w:style w:type="character" w:styleId="886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87">
    <w:name w:val="annotation text"/>
    <w:basedOn w:val="853"/>
    <w:link w:val="88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8" w:customStyle="1">
    <w:name w:val="Текст примечания Знак1"/>
    <w:basedOn w:val="854"/>
    <w:link w:val="887"/>
    <w:uiPriority w:val="99"/>
    <w:semiHidden/>
    <w:rPr>
      <w:rFonts w:ascii="Calibri" w:hAnsi="Calibri" w:eastAsia="Calibri"/>
      <w:lang w:eastAsia="ar-SA"/>
    </w:rPr>
  </w:style>
  <w:style w:type="paragraph" w:styleId="889">
    <w:name w:val="Revision"/>
    <w:hidden/>
    <w:uiPriority w:val="99"/>
    <w:semiHidden/>
    <w:rPr>
      <w:rFonts w:ascii="Calibri" w:hAnsi="Calibri" w:eastAsia="Calibri"/>
      <w:sz w:val="22"/>
      <w:szCs w:val="22"/>
      <w:lang w:eastAsia="ar-SA"/>
    </w:rPr>
  </w:style>
  <w:style w:type="character" w:styleId="890">
    <w:name w:val="Strong"/>
    <w:basedOn w:val="854"/>
    <w:uiPriority w:val="22"/>
    <w:qFormat/>
    <w:rPr>
      <w:b/>
      <w:bCs/>
    </w:rPr>
  </w:style>
  <w:style w:type="character" w:styleId="891" w:customStyle="1">
    <w:name w:val="ConsPlusNormal Знак"/>
    <w:link w:val="873"/>
    <w:uiPriority w:val="99"/>
    <w:rPr>
      <w:rFonts w:ascii="Arial" w:hAnsi="Arial" w:cs="Arial"/>
      <w:lang w:eastAsia="ar-SA"/>
    </w:rPr>
  </w:style>
  <w:style w:type="paragraph" w:styleId="892" w:customStyle="1">
    <w:name w:val="Основной текст4"/>
    <w:basedOn w:val="871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98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8BF0-62D0-4762-97D8-B0714BD5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Лариса Александровна</dc:creator>
  <cp:revision>86</cp:revision>
  <dcterms:created xsi:type="dcterms:W3CDTF">2023-03-09T07:11:00Z</dcterms:created>
  <dcterms:modified xsi:type="dcterms:W3CDTF">2025-03-25T08:26:23Z</dcterms:modified>
</cp:coreProperties>
</file>