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___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______________________________________, именуемое (-ая/-ый) в дальнейшем «Страхователь», для обеспечения нужд Новосибирской области, </w:t>
      </w:r>
      <w:r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____________, с одной стороны, и</w:t>
      </w:r>
      <w:r>
        <w:rPr>
          <w:rFonts w:ascii="Times New Roman" w:hAnsi="Times New Roman"/>
          <w:sz w:val="24"/>
          <w:szCs w:val="24"/>
        </w:rPr>
        <w:t xml:space="preserve"> __________________________, именуемое (-ая/-ый) в дальнейшем «Страховщик», в лице ________________________, действующ___ на основании _______________________, с</w:t>
      </w:r>
      <w:r>
        <w:rPr>
          <w:rFonts w:ascii="Times New Roman" w:hAnsi="Times New Roman"/>
          <w:sz w:val="24"/>
          <w:szCs w:val="24"/>
        </w:rPr>
        <w:t xml:space="preserve"> другой стороны, вместе именуемые «Стороны» и каждый в отдельности «Сторона»,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hAnsi="Times New Roman"/>
          <w:sz w:val="24"/>
          <w:szCs w:val="24"/>
        </w:rPr>
        <w:t xml:space="preserve">жд» (далее – Закон о контрактной системе), при способе определения страховщика _____________ (протокол _______ № ______от_____)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 Предметом Контракта является _____________________________________________. </w:t>
      </w:r>
      <w:r/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 1 к Контракту) и на условиях, предусмотренных Контрактом (далее – Услуги).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за обусловленную Контрактом плату (страховую премию)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предусмотренного в Контракте события (страхового случая) возмещает потерпевшим причи</w:t>
      </w:r>
      <w:r>
        <w:rPr>
          <w:rFonts w:ascii="Times New Roman" w:hAnsi="Times New Roman" w:cs="Times New Roman"/>
          <w:sz w:val="24"/>
          <w:szCs w:val="24"/>
        </w:rPr>
        <w:t xml:space="preserve">ненный вследствие этого события вред их жизни, здоровью или имуществу в форме страховой выплаты или путем организации и (или) оплаты восстановительного ремонта поврежденного транспортного средства в пределах определенной Контрактом суммы (страховой суммы).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 Застрахованной по Контракту является обязательная гражданская ответственность Страхователя при использовании транспортных средств (далее - ОСАГО), указанных в Приложении № 2 к Описанию объекта закупки, являющемся неотъемлемой его частью.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 Объектом страхования по Контракту являются имущественные интересы Страхователя,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1.4. Контракт заключен в соответствии с требованиями Федерального закона от 25.04.2002 № 40-ФЗ «Об об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язательном страховании гражданской ответственности владельцев транспортных средств», Положением Центрального Банка Российской Федерации от 19.09.2014 №431-П «О правилах обязательного страхования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2.Место и сроки оказания услуг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 Место оказания услуг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2.2. </w:t>
      </w:r>
      <w:r>
        <w:rPr>
          <w:rFonts w:ascii="Times New Roman" w:hAnsi="Times New Roman"/>
          <w:bCs/>
          <w:sz w:val="24"/>
          <w:szCs w:val="24"/>
        </w:rPr>
        <w:t xml:space="preserve">Срок действия страхового полиса: один год. </w:t>
      </w:r>
      <w:r>
        <w:rPr>
          <w:rFonts w:ascii="Times New Roman" w:hAnsi="Times New Roman"/>
          <w:sz w:val="24"/>
          <w:szCs w:val="24"/>
        </w:rPr>
        <w:t xml:space="preserve">Услуги должны быть оказаны Страховщиком в сроки, установленные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2.3. Оказание Услуг осуществляется в объеме, указанном в заявках Страхователя.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Заявка направляется Страхователем Страховщику способом и в сроки, установленные Описанием объекта закупки (приложение № 1 к Контракту).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 Порядок определения оказанных Услуг на основании заявок Страхователя включает в себя учет объемов оказанных по заявкам Услуг (позиций Ус</w:t>
      </w:r>
      <w:r>
        <w:rPr>
          <w:rFonts w:ascii="Times New Roman" w:hAnsi="Times New Roman"/>
          <w:sz w:val="24"/>
          <w:szCs w:val="24"/>
        </w:rPr>
        <w:t xml:space="preserve">луг) исходя из определения такого объема как частное от деления максимального значения цены Контракта (максимальной цены позиции Услуги, указанной в Приложении №1 к описанию объекта закупки Контракта), к цене единицы такой Услуги (позиции Услуги). Объем ок</w:t>
      </w:r>
      <w:r>
        <w:rPr>
          <w:rFonts w:ascii="Times New Roman" w:hAnsi="Times New Roman"/>
          <w:sz w:val="24"/>
          <w:szCs w:val="24"/>
        </w:rPr>
        <w:t xml:space="preserve">азанных по заявкам Услуг (позиций Услуг) учитывается с нарастающим итогом и не должен превышать максимальное значение цены Контракта с учетом распределения по позициям Услуг (при их наличии), указанного в Приложении №1 к описанию объекта закупки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2.5. Дата начала срока обязательного страхования по каждому транспортному средству указана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в заявках Страхователя, являющихся неотъемлемой частью настоящего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3.Страховые случаи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 Страховым случаем признается причинение в результате дорожно-транспортного происшествия (далее - ДТП) с уч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астием транспортного средства, указанного в Приложении № 2 к Описанию объекта закупки, в период действия ОСАГО Страхователем вреда жизни, здоровью или имуществу потерпевшего, которое влечет за собой обязанность Страховщика осуществить страховое возмещение.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В соответствии с Контрактом не покрывается страхованием вред, причиненный вследствие событий, указанных в части 2 статьи 6 Федерального закона от 25.04.2002 № 40-ФЗ «Об обязательном страховании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4.Страховое возмещение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4.1. 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Потерпевший вправе предъявить Страховщику требование о возмещении вреда, причиненного его жизни, здоровью или имуществу при </w:t>
      </w:r>
      <w:hyperlink r:id="rId14" w:tooltip="consultantplus://offline/ref=043CC50F63ED8039A7EC2F0D865D657C0DEFAEF26B30D90DBE57B229AEAB94E335E8166D1A7079D8lBYFG" w:history="1">
        <w:r>
          <w:rPr>
            <w:rFonts w:ascii="Times New Roman" w:hAnsi="Times New Roman" w:cs="Times New Roman"/>
            <w:bCs/>
            <w:sz w:val="24"/>
            <w:szCs w:val="24"/>
          </w:rPr>
          <w:t xml:space="preserve">использовании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транспортного средства, в пределах страховой суммы, установленной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Федеральным законом от 25.04.2002  № 40-ФЗ «Об обязательном страховании гражданской ответственности владельцев транспортных средств»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путем предъявления Страховщику заявления о страховом возмещении или прямом возмещении убытков и документов, предусмотренных правилами обязательного страхования.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4.2. </w:t>
      </w:r>
      <w:r>
        <w:rPr>
          <w:rFonts w:ascii="Times New Roman" w:hAnsi="Times New Roman" w:cs="Times New Roman"/>
          <w:sz w:val="24"/>
          <w:szCs w:val="24"/>
        </w:rPr>
        <w:t xml:space="preserve">Страховая выплата, причитающаяся потерпевшему за причинение вреда его здоровью в результате дорожно-транспортного происшествия, осуществляется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Федеральным законом от 25.04.2002 № 40-ФЗ «Об обязательном страховании гражданской ответственности владельцев транспортных средств» </w:t>
      </w:r>
      <w:r>
        <w:rPr>
          <w:rFonts w:ascii="Times New Roman" w:hAnsi="Times New Roman" w:cs="Times New Roman"/>
          <w:sz w:val="24"/>
          <w:szCs w:val="24"/>
        </w:rPr>
        <w:t xml:space="preserve">в счет возмещения расходов, связанных с восстановлением здоровья потерпевшего, и утраченного им заработка (дохода) в связи с причинением вреда здоровью в результате дорожно-транспортного происшествия.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4.3. Порядок осуществления страхового возмещения причиненного потерпевшему вреда определяется Федеральным законом от 25.04.2002 № 40-ФЗ «Об обязательном страховании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37"/>
        <w:contextualSpacing/>
        <w:ind w:left="0" w:firstLine="0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5.Формула цены и максимальное значение цены Контракта, цена единицы услуги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7"/>
        <w:contextualSpacing/>
        <w:ind w:left="0" w:firstLine="0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5.1. </w:t>
      </w:r>
      <w:r>
        <w:rPr>
          <w:rFonts w:ascii="Times New Roman" w:hAnsi="Times New Roman"/>
          <w:sz w:val="24"/>
          <w:szCs w:val="24"/>
          <w:u w:val="single"/>
        </w:rPr>
        <w:t xml:space="preserve">Максимальное значение цены Контракта</w:t>
      </w:r>
      <w:r>
        <w:rPr>
          <w:rFonts w:ascii="Times New Roman" w:hAnsi="Times New Roman"/>
          <w:sz w:val="24"/>
          <w:szCs w:val="24"/>
        </w:rPr>
        <w:t xml:space="preserve"> (ЦКmax) составляет _________ (_________) рублей __ копеек,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НДС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Формула цены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Цк = Т1 + Т2 + Тn...,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Цк - итоговая цена контракта (общий размер страховой премии за все транспортные средства).  Не может превышать максимальное значение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- размер страховой премии (цена за единицу услуги) по каждому автомобилю,  рассчитывается путем умножения сниженной с учетом предложения участника базовой ставки тарифа на коэффициенты, влияющие на размер страховой премии, в соответствии с </w:t>
      </w:r>
      <w:hyperlink r:id="rId15" w:tooltip="consultantplus://offline/ref=6693DB4676F63706988E2B724E828E32E31144C450A500F40015999C4C16CB717C1E078E8BEE5C31E9AF52D769BADDE129668A11C7A5EC6468M8K" w:history="1">
        <w:r>
          <w:rPr>
            <w:rFonts w:ascii="Times New Roman" w:hAnsi="Times New Roman" w:cs="Times New Roman"/>
            <w:sz w:val="24"/>
            <w:szCs w:val="24"/>
          </w:rPr>
          <w:t xml:space="preserve">Указанием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Банка России от 08.12.2021 № 6007-У. Не может превышать цену за единицу услуги, указанную в контракте (Приложение №1 к Описанию объекта закупки).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указанием Банка России от 08.12.2021 № 6007-У «</w:t>
      </w:r>
      <w:r>
        <w:rPr>
          <w:rFonts w:ascii="Times New Roman" w:hAnsi="Times New Roman" w:cs="Times New Roman"/>
          <w:sz w:val="24"/>
          <w:szCs w:val="24"/>
        </w:rPr>
        <w:t xml:space="preserve">О страховых тарифах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размер страховой премии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со следующей таблицей: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856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7"/>
        <w:gridCol w:w="3059"/>
        <w:gridCol w:w="625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Категория транспортного средства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0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размера страховой премии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0"/>
              </w:numPr>
              <w:ind w:left="0" w:firstLine="0"/>
              <w:spacing w:before="0" w:after="0" w:line="240" w:lineRule="auto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9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0"/>
              </w:numPr>
              <w:ind w:left="0" w:firstLine="0"/>
              <w:jc w:val="center"/>
              <w:spacing w:before="0" w:after="0" w:line="240" w:lineRule="auto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При обязательном страховании гражданской ответственности владельцев транспортных с</w:t>
            </w:r>
            <w:r>
              <w:rPr>
                <w:rFonts w:ascii="Times New Roman" w:hAnsi="Times New Roman" w:cs="Times New Roman"/>
              </w:rPr>
              <w:t xml:space="preserve">редств, зарегистрированных в Российской Федерации (за исключением случаев следования к месту регистрации транспортного средства, а также к месту проведения технического осмотра транспортного средства, повторного технического осмотра транспортного средства)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категории "B", "BE" (в том числе такси)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= ТБ x КТ x КБМ x КВС x КО x КМ x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категорий "A", "M", "C", "CE", "D", "DE", "Tb", "Tm", тракторы, самоходные дорожно-строительные и иные машины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= ТБ x КТ x КБМ x КВС x КО x КС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3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63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ТБ - базовые страховые тарифы;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КТ-</w:t>
      </w:r>
      <w:r>
        <w:rPr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территории преимущественного использования транспортных средств;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КБМ - </w:t>
      </w:r>
      <w:r>
        <w:rPr>
          <w:rFonts w:ascii="Times New Roman" w:hAnsi="Times New Roman" w:cs="Times New Roman"/>
          <w:sz w:val="24"/>
          <w:szCs w:val="24"/>
        </w:rPr>
        <w:t xml:space="preserve">коэффициент страховых тарифов в зависимости от количества произведенных страховщиками страховых возмещений в предшествующие периоды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КВС -  коэффициент страховых тарифов в зависимости от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 (навыков) допущенных к управлению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КМ - коэффициент страховых тарифов в зависимости от технических характеристик (мощности двигателя) транспортного средства;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КС-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сезонного и иного временного использования транспортного средства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Цена единицы услуги включает в себя расходы, связанные с оказанием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Cs/>
          <w:sz w:val="24"/>
          <w:szCs w:val="24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ридическим лицом или физическим лицом, в том числе зарегистрированным в качестве индивидуального предпринимателя, то сумма, подлежащая уплате Страхователем, уменьшается на размер налогов, сборов и иных обязательных платежей в бюджеты бюджетной системы Росс</w:t>
      </w:r>
      <w:r>
        <w:rPr>
          <w:rFonts w:ascii="Times New Roman" w:hAnsi="Times New Roman"/>
          <w:sz w:val="24"/>
          <w:szCs w:val="24"/>
        </w:rPr>
        <w:t xml:space="preserve">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Страхователем.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5.4. Цена единицы Услуги сформирована с учетом всех возможных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расходов, связанных с оказанием услуг, являющихся предметом Контракта в полном объеме и включает в себя базовый тариф, а также коэффициенты страховых тарифов в зависимости от: территории преимущественного использования ТС, наличия или отсутствия страховых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выплат, количества лиц, допущенных к управлению ТС, возраста или стажа водителя, мощности двигателя легкового автомобиля, краткосрочного страхования, периода использования ТС, срока страхования, нарушений и иные расходы, связанные с исполнением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пунктов 5.5-5.6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5.5.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Страхователем по формуле, указанной в п. 5.1 Контракта.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contextualSpacing/>
        <w:ind w:firstLine="709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 Контракту производится в срок не более _______ (_________) рабоч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с даты подписания Страхователем документа о приемке.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3"/>
        <w:contextualSpacing/>
        <w:ind w:firstLine="709"/>
        <w:jc w:val="both"/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</w:t>
      </w:r>
      <w:r>
        <w:rPr>
          <w:rFonts w:ascii="Times New Roman" w:hAnsi="Times New Roman"/>
          <w:sz w:val="24"/>
          <w:szCs w:val="24"/>
        </w:rPr>
        <w:t xml:space="preserve"> Обязательства Страхователя по оплате считаются исполненными с момента списания денежных средств в размере, установленном Контрактом, с лицевого счета Страхователя. За дальнейшее прохождение денежных средств Страхователь ответственности не несет.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пунктов 5.5-5.6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pStyle w:val="863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5.5. 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pStyle w:val="863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Страховщика,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5.6.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Страхователем по формуле, указанной в п. 5.1 Контракта.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863"/>
        <w:ind w:left="0" w:right="0" w:firstLine="709"/>
        <w:jc w:val="both"/>
        <w:spacing w:before="0"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Страхователем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Страхователем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863"/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63"/>
        <w:ind w:firstLine="540"/>
        <w:jc w:val="both"/>
        <w:spacing w:before="0"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III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пунктов 5.5-5.6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Страхователем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5.6.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5.1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left="0" w:right="0" w:firstLine="709"/>
        <w:jc w:val="both"/>
        <w:spacing w:before="0"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Страхователем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Страхователем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863"/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63"/>
        <w:ind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6.Права и обязанности сторон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863"/>
        <w:ind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93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 Страховщик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 своевременно и надлежащим образом оказать услуги в соответствии с действующим законодательством Российской Федерации и условиями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при наступлении каждого страхового случая </w:t>
      </w:r>
      <w:r>
        <w:rPr>
          <w:rFonts w:ascii="Times New Roman" w:hAnsi="Times New Roman" w:eastAsia="Times New Roman"/>
          <w:sz w:val="24"/>
          <w:szCs w:val="24"/>
        </w:rPr>
        <w:t xml:space="preserve">возместить потерпевшим лицам причиненный вред в размерах, в порядке и в сроки, предусмотренные действующим законодательством </w:t>
      </w:r>
      <w:r>
        <w:rPr>
          <w:rFonts w:ascii="Times New Roman" w:hAnsi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eastAsia="Times New Roman"/>
          <w:sz w:val="24"/>
          <w:szCs w:val="24"/>
        </w:rPr>
        <w:t xml:space="preserve"> или мотивированно отказать в выплате страхового возмещения;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 выдать Страхователю страховой полис, </w:t>
      </w:r>
      <w:r>
        <w:rPr>
          <w:rFonts w:ascii="Times New Roman" w:hAnsi="Times New Roman" w:cs="Times New Roman"/>
          <w:sz w:val="24"/>
          <w:szCs w:val="24"/>
        </w:rPr>
        <w:t xml:space="preserve">оформленный Страховщиком по установленной законодательством форме на эксплуатируемые Страхователем транспортные средства, указанные в Приложении № 2 к Описанию объекта закупки, </w:t>
      </w:r>
      <w:r>
        <w:rPr>
          <w:rFonts w:ascii="Times New Roman" w:hAnsi="Times New Roman"/>
          <w:sz w:val="24"/>
          <w:szCs w:val="24"/>
        </w:rPr>
        <w:t xml:space="preserve">по акту приема-передачи (приложение №2 к Контракту);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6.1.4. выдать Страхователю установленной формы 2 бланка извещения о дорожно-транспортном происшествии. В дальнейшем бланки извещений о дорожно-транспортном происшествии выдаются Страховщиком бесплатно по требованию Страхователя;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6.1.5. исполнять иные обязательства, предусмотренные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Страхователь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6.2.1. обеспечивать своевременность и полноту перечисления средств в счет уплаты страховой премии в размере и сроки, определенные настоящим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sz w:val="24"/>
          <w:szCs w:val="24"/>
          <w:highlight w:val="none"/>
        </w:rPr>
        <w:t xml:space="preserve">2. </w:t>
      </w:r>
      <w:r>
        <w:rPr>
          <w:rFonts w:ascii="Times New Roman" w:hAnsi="Times New Roman" w:eastAsia="Times New Roman"/>
          <w:sz w:val="24"/>
          <w:szCs w:val="24"/>
        </w:rPr>
        <w:t xml:space="preserve">при наступлении страхового случая (далее - ДТ</w:t>
      </w:r>
      <w:r>
        <w:rPr>
          <w:rFonts w:ascii="Times New Roman" w:hAnsi="Times New Roman" w:eastAsia="Times New Roman"/>
          <w:sz w:val="24"/>
          <w:szCs w:val="24"/>
        </w:rPr>
        <w:t xml:space="preserve">П) Страхователь - участник этого ДТП должен принимать меры и исполнять обязанности, предусмотренные Правилами дорожного движения Российской Федерации, утвержденными постановлением Совета Министров - Правительства Российской Федерации от 23.10.1993 № 1090, </w:t>
      </w:r>
      <w:r>
        <w:rPr>
          <w:rFonts w:ascii="Times New Roman" w:hAnsi="Times New Roman" w:eastAsia="Times New Roman"/>
          <w:sz w:val="24"/>
          <w:szCs w:val="24"/>
        </w:rPr>
        <w:t xml:space="preserve">а также принять необходимые в сложившихся обстоятельствах меры с целью уменьшения возможных убытков от происшествия, записать фамилии и адреса очевидцев и указать их в извещении о ДТП, принять меры по оформлению документов о ДТП в соответствии с Правилами.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Страхователь имеет право: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6.3.1. при утрате страхового полиса обязательного страхования на получение их дубликатов. При этом второй и последующие дубликаты выдаются Страхователю бесплатно;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6.3.2. пользоваться иными установленными Контрактом и законодательством Российской Федерации правами.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Страховщик имеет право: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6.4.1. в установленных действующим законодательством случаях запрашивать у правоохранительных органов, медицинских и других учреждений и организаций сведения, связанные с произошедшим событием;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6.4.2. пользоваться иными установленными Контрактом и законодательством Российской Федерации правами.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center"/>
        <w:spacing w:before="0" w:after="0" w:line="240" w:lineRule="auto"/>
        <w:widowControl w:val="off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7.Порядок и сроки осуществления Страхователем приемки оказанных услуг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863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7.1.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на предмет </w:t>
      </w:r>
      <w:r>
        <w:rPr>
          <w:rFonts w:ascii="Times New Roman" w:hAnsi="Times New Roman" w:eastAsia="Times New Roman"/>
          <w:sz w:val="24"/>
          <w:szCs w:val="24"/>
        </w:rPr>
        <w:t xml:space="preserve">соответствия их объема и качества требованиям, установленным в Контракте. Для приемки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eastAsia="Times New Roman"/>
          <w:sz w:val="24"/>
          <w:szCs w:val="24"/>
        </w:rPr>
        <w:t xml:space="preserve">вправе создать </w:t>
      </w:r>
      <w:r>
        <w:rPr>
          <w:rFonts w:ascii="Times New Roman" w:hAnsi="Times New Roman"/>
          <w:sz w:val="24"/>
          <w:szCs w:val="24"/>
        </w:rPr>
        <w:t xml:space="preserve">приемочную комиссию.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7.2. 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863"/>
        <w:contextualSpacing/>
        <w:ind w:right="-2" w:firstLine="709"/>
        <w:jc w:val="both"/>
        <w:spacing w:before="0" w:after="0" w:line="240" w:lineRule="auto"/>
        <w:tabs>
          <w:tab w:val="left" w:pos="567" w:leader="none"/>
          <w:tab w:val="clear" w:pos="708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принимает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При отсутствии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 </w:t>
      </w:r>
      <w:r>
        <w:rPr>
          <w:rFonts w:ascii="Times New Roman" w:hAnsi="Times New Roman"/>
          <w:sz w:val="24"/>
          <w:szCs w:val="24"/>
        </w:rPr>
        <w:t xml:space="preserve">претензий по объему и качеству оказанных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 не позднее ______ (___________) рабочих дней, следующих за днем поступления документа о приемке, осуществляет приемку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При выявлении несоответствий в оказанных Услугах в срок, установленный в пункте 7.3 Контракта,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отказывает в приемке 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/>
      <w:bookmarkStart w:id="1" w:name="Par16"/>
      <w:r/>
      <w:bookmarkEnd w:id="1"/>
      <w:r>
        <w:rPr>
          <w:rFonts w:ascii="Times New Roman" w:hAnsi="Times New Roman"/>
          <w:sz w:val="24"/>
          <w:szCs w:val="24"/>
        </w:rPr>
        <w:t xml:space="preserve">7.5. 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вправе не отказывать в приемке оказанных Услуг в случае выявления несоответствия результатов оказанных Услуг условиям Контракта, если выявленное несоответствие не препятствует приемке оказанных Услуг и устранено Страховщиком.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8.Порядок и сроки оформления результатов приемки оказанных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8.1. 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Страховщик не позднее 5 (пяти) рабочих дней с даты окончания оказания Услуг по Контракту (этапу) формирует с использованием единой информационной системы в сфере закупок, подпи</w:t>
      </w:r>
      <w:r>
        <w:rPr>
          <w:rFonts w:ascii="Times New Roman" w:hAnsi="Times New Roman"/>
          <w:sz w:val="24"/>
          <w:szCs w:val="24"/>
          <w:highlight w:val="white"/>
        </w:rPr>
        <w:t xml:space="preserve">сывает усиленной электронной подписью лица, имеющего право действовать от имени Страховщика,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8.2. К документу о приемке, предусмотренному пунктом 8.1 Контракта, могут прилагаться д</w:t>
      </w:r>
      <w:r>
        <w:rPr>
          <w:rFonts w:ascii="Times New Roman" w:hAnsi="Times New Roman"/>
          <w:sz w:val="24"/>
          <w:szCs w:val="24"/>
          <w:lang w:eastAsia="ar-SA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8.3. Документ о приемке, подписанный </w:t>
      </w:r>
      <w:r>
        <w:rPr>
          <w:rFonts w:ascii="Times New Roman" w:hAnsi="Times New Roman"/>
          <w:sz w:val="24"/>
          <w:szCs w:val="24"/>
        </w:rPr>
        <w:t xml:space="preserve">Страховщико</w:t>
      </w:r>
      <w:r>
        <w:rPr>
          <w:rFonts w:ascii="Times New Roman" w:hAnsi="Times New Roman"/>
          <w:sz w:val="24"/>
          <w:szCs w:val="24"/>
          <w:lang w:eastAsia="ar-SA"/>
        </w:rPr>
        <w:t xml:space="preserve">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Страхователю</w:t>
      </w:r>
      <w:r>
        <w:rPr>
          <w:rFonts w:ascii="Times New Roman" w:hAnsi="Times New Roman"/>
          <w:sz w:val="24"/>
          <w:szCs w:val="24"/>
          <w:lang w:eastAsia="ar-SA"/>
        </w:rPr>
        <w:t xml:space="preserve">. Датой поступления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Страхователю</w:t>
      </w:r>
      <w:r>
        <w:rPr>
          <w:rFonts w:ascii="Times New Roman" w:hAnsi="Times New Roman"/>
          <w:sz w:val="24"/>
          <w:szCs w:val="24"/>
          <w:lang w:eastAsia="ar-SA"/>
        </w:rPr>
        <w:t xml:space="preserve"> документа о приемке, подписанного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  <w:lang w:eastAsia="ar-SA"/>
        </w:rPr>
        <w:t xml:space="preserve">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8.4. 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в срок, указанный в пункте 7.3 Контракта, подписывает усиленной квалифицированной электронной подписью лица, имеющего право действовать от имени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 (этапа) считается дата размещения в единой информационной системе в сфере закупок документа о приемке, подписанного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8.5. </w:t>
      </w:r>
      <w:r>
        <w:rPr>
          <w:rFonts w:ascii="Times New Roman" w:hAnsi="Times New Roman"/>
          <w:sz w:val="24"/>
          <w:szCs w:val="24"/>
        </w:rPr>
        <w:t xml:space="preserve">В случае отказа от приемки оказанных Услуг (этапа)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формирует с использованием единой информационной системы, подписывает усиленной квалифицированной электронной подписью лица, имеющего право действовать от имени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Страховщик вправе устранить причины, указанные в таком мотивированном отказе, и направить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Страховщика,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9.Ответственность Сторон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Размеры неустоек (штрафов, пеней), указанные в настоящем разделе, определяются в соответствии с 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  <w:lang w:eastAsia="ar-SA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highlight w:val="yellow"/>
          <w:lang w:eastAsia="ar-SA"/>
        </w:rPr>
      </w:r>
      <w:r>
        <w:rPr>
          <w:rFonts w:ascii="Times New Roman" w:hAnsi="Times New Roman"/>
          <w:sz w:val="24"/>
          <w:szCs w:val="24"/>
          <w:highlight w:val="yellow"/>
          <w:lang w:eastAsia="ar-SA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В случае проср</w:t>
      </w:r>
      <w:r>
        <w:rPr>
          <w:rFonts w:ascii="Times New Roman" w:hAnsi="Times New Roman"/>
          <w:sz w:val="24"/>
          <w:szCs w:val="24"/>
        </w:rPr>
        <w:t xml:space="preserve">очки исполнения Страхователем обязательств, предусмотренных Контрактом, а также в иных случаях неисполнения или ненадлежащего исполнения Страхователем обязательств, предусмотренных Контрактом, Страховщик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color w:val="000000" w:themeColor="text1"/>
          <w:sz w:val="24"/>
          <w:szCs w:val="24"/>
        </w:rPr>
        <w:t xml:space="preserve">9.3. За каждый факт неисполнения Страхователем обязательств, предусмотренных Контрактом, за 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 В случае просрочки исполнения Страховщиком обязательств (в том числе гарантийного обяз</w:t>
      </w:r>
      <w:r>
        <w:rPr>
          <w:rFonts w:ascii="Times New Roman" w:hAnsi="Times New Roman"/>
          <w:sz w:val="24"/>
          <w:szCs w:val="24"/>
        </w:rPr>
        <w:t xml:space="preserve">ательства), предусмотренных Контрактом, а также в иных случаях неисполнения или ненадлежащего исполнения Страховщиком обязательств, предусмотренных Контрактом,  Страхователь</w:t>
      </w:r>
      <w:r>
        <w:rPr>
          <w:rFonts w:ascii="Times New Roman" w:hAnsi="Times New Roman"/>
          <w:sz w:val="24"/>
          <w:szCs w:val="24"/>
        </w:rPr>
        <w:t xml:space="preserve"> направляет Страховщику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Страховщиком обязательства, предусмотренного Контрактом, в размере одной трехсотой действующей на дату уплаты пени ключевой ставки Центрального банка Росси</w:t>
      </w:r>
      <w:r>
        <w:rPr>
          <w:rFonts w:ascii="Times New Roman" w:hAnsi="Times New Roman"/>
          <w:sz w:val="24"/>
          <w:szCs w:val="24"/>
        </w:rPr>
        <w:t xml:space="preserve">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Страховщиком.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9.5. 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ия или ненадлежащего исполнения Страховщиком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 процентов максимального значения цены контракта (этапа) в случае, если максимальное значение цены контракта (этапа)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 процентов максимального значения цены контракта (этапа) в случае, если максимальное значение цены контракта (этапа)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 процент максимального значения цены контракта (этапа) в случае, если максимальное значение цены контракта (этапа)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0,5 процента максимального значения цены контракта (этапа) в случае, если максимальное значение цены контракта (этапа) составляет от 100 млн. рублей до 500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д) 0,4 процента максимального значения цены контракта (этапа) в случае, если максимальное значение цены контракта (этапа) составляет от 500 млн. рублей до 1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е) 0,3 процента максимального значения цены контракта (этапа) в случае, если максимальное значение цены контракта (этапа) составляет от 1 млрд. рублей до 2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ж) 0,25 процента максимального значения цены контракта (этапа) в случае, если максимальное значение цены контракта (этапа) составляет от 2 млрд. рублей до 5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з) 0,2 процента максимального значения цены контракта (этапа) в случае, если максимальное значение цены контракта (этапа) составляет от 5 млрд. рублей до 10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и) 0,1 процента максимального значения цены контракта (этапа) в случае, если максимальное значение цены контракта (этапа) превышает 10 млрд.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9.6. За каждый факт неисполнения или ненадлежащего исполнения Страховщиком обязательства, предусмотренного Контрактом, </w:t>
      </w:r>
      <w:r>
        <w:rPr>
          <w:rFonts w:ascii="Times New Roman" w:hAnsi="Times New Roman" w:eastAsia="Calibri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9.7. За каждый факт неисполнения или ненадлежащего исполнения Страховщиком обязательств, предусмотренных Контрактом, заключенным с победителем закупки (или с иным участником закупки в случаях, установленных Законом о контрактной системе), </w:t>
      </w:r>
      <w:r>
        <w:rPr>
          <w:rFonts w:ascii="Times New Roman" w:hAnsi="Times New Roman" w:eastAsia="Calibri" w:eastAsiaTheme="minorHAnsi"/>
          <w:i/>
          <w:sz w:val="24"/>
          <w:szCs w:val="24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максимального значения цены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максимального значения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максимального значения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максимального значения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максимальное значение цены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9.8. Общая сумма начисленных штрафов за неисполнение или ненадлежащее исполнение Страховщиком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Общая сумма начисленных штрафов за ненадлежащее исполнение Страхователем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9.9. В случае неисполнения или ненадлежащего исполнения Страховщиком обязательств, предусмотренных Контрактом, Страх</w:t>
      </w:r>
      <w:r>
        <w:rPr>
          <w:rFonts w:ascii="Times New Roman" w:hAnsi="Times New Roman"/>
          <w:sz w:val="24"/>
          <w:szCs w:val="24"/>
        </w:rPr>
        <w:t xml:space="preserve">ователь вправе произвести оплату по Контракту за вычетом соответствующего размера неустойки (штрафа, пени) (при этом исполнение обязательства Страховщика по перечислению неустойки (штрафа, пени) и (или) убытков в доход бюджета возлагается на Страхователя).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9.11. Сторона освобождается от уплаты неустойки (штрафа, пени), если докажет, что неисполнение или н</w:t>
      </w:r>
      <w:r>
        <w:rPr>
          <w:rFonts w:ascii="Times New Roman" w:hAnsi="Times New Roman"/>
          <w:sz w:val="24"/>
          <w:szCs w:val="24"/>
        </w:rPr>
        <w:t xml:space="preserve">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</w:t>
      </w:r>
      <w:r>
        <w:rPr>
          <w:rFonts w:ascii="Times New Roman" w:hAnsi="Times New Roman"/>
          <w:sz w:val="24"/>
          <w:szCs w:val="24"/>
        </w:rPr>
        <w:t xml:space="preserve">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hAnsi="Times New Roman"/>
          <w:sz w:val="24"/>
          <w:szCs w:val="24"/>
        </w:rPr>
        <w:t xml:space="preserve">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10.Обеспечение исполнения Контракта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Обеспечение исполнения Контракта предусмотрено для обеспечения исполнения Страховщ</w:t>
      </w:r>
      <w:r>
        <w:rPr>
          <w:rFonts w:ascii="Times New Roman" w:hAnsi="Times New Roman"/>
          <w:sz w:val="24"/>
          <w:szCs w:val="24"/>
        </w:rPr>
        <w:t xml:space="preserve">иком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 внесением денеж</w:t>
      </w:r>
      <w:r>
        <w:rPr>
          <w:rFonts w:ascii="Times New Roman" w:hAnsi="Times New Roman"/>
          <w:sz w:val="24"/>
          <w:szCs w:val="24"/>
        </w:rPr>
        <w:t xml:space="preserve">ных средств на указанный Страхователем счет, на котором в соответствии с законодательством Российской Федерации учитываются операции со средствами, поступающими Страхователю. Способ обеспечения исполнения Контракта определяется Страховщиком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 Размер обеспечения исполнения Контракта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 (______) рублей _____копеек.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 В ходе исполнения Контракта Страховщик вправе изменить способ обеспечения исполнения </w:t>
      </w:r>
      <w:r>
        <w:rPr>
          <w:rFonts w:ascii="Times New Roman" w:hAnsi="Times New Roman"/>
          <w:sz w:val="24"/>
          <w:szCs w:val="24"/>
        </w:rPr>
        <w:t xml:space="preserve">Контракта и (или) предоставить Страхователю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 Срок действия независимой гарантии определяется Страховщиком самостоятельно в соотве</w:t>
      </w:r>
      <w:r>
        <w:rPr>
          <w:rFonts w:ascii="Times New Roman" w:hAnsi="Times New Roman"/>
          <w:sz w:val="24"/>
          <w:szCs w:val="24"/>
        </w:rPr>
        <w:t xml:space="preserve">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Страх</w:t>
      </w:r>
      <w:r>
        <w:rPr>
          <w:rFonts w:ascii="Times New Roman" w:hAnsi="Times New Roman"/>
          <w:sz w:val="24"/>
          <w:szCs w:val="24"/>
        </w:rPr>
        <w:t xml:space="preserve">овщиком его обязательств по Контракту, Страховщик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 тех же условиях и в таком же размере.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</w:t>
      </w:r>
      <w:r>
        <w:rPr>
          <w:rFonts w:ascii="Times New Roman" w:hAnsi="Times New Roman"/>
          <w:sz w:val="24"/>
          <w:szCs w:val="24"/>
        </w:rPr>
        <w:t xml:space="preserve">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Страховщик обязуется предоставить новое обеспечение исполнения Контракта </w:t>
      </w:r>
      <w:r>
        <w:rPr>
          <w:rFonts w:ascii="Times New Roman" w:hAnsi="Times New Roman"/>
          <w:sz w:val="24"/>
          <w:szCs w:val="24"/>
        </w:rPr>
        <w:t xml:space="preserve">не позднее одного месяца со дня надлежащего уведомления Страхователем Страховщика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r:id="rId16" w:tooltip="consultantplus://offline/ref=B689AD7A1C1BB115959EAA61CDEB402385CE774CFE23207478DE38A79F59C7B3E0DB074BC82528C3AEC66DCAF132B995AF6109C97E7643g3J" w:history="1">
        <w:r>
          <w:rPr>
            <w:rFonts w:ascii="Times New Roman" w:hAnsi="Times New Roman"/>
            <w:sz w:val="24"/>
            <w:szCs w:val="24"/>
          </w:rPr>
          <w:t xml:space="preserve">частями 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tooltip="consultantplus://offline/ref=B689AD7A1C1BB115959EAA61CDEB402385CE774CFE23207478DE38A79F59C7B3E0DB074BC82421C3AEC66DCAF132B995AF6109C97E7643g3J" w:history="1">
        <w:r>
          <w:rPr>
            <w:rFonts w:ascii="Times New Roman" w:hAnsi="Times New Roman"/>
            <w:sz w:val="24"/>
            <w:szCs w:val="24"/>
          </w:rPr>
          <w:t xml:space="preserve">7.1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tooltip="consultantplus://offline/ref=B689AD7A1C1BB115959EAA61CDEB402385CE774CFE23207478DE38A79F59C7B3E0DB074BC82420C3AEC66DCAF132B995AF6109C97E7643g3J" w:history="1">
        <w:r>
          <w:rPr>
            <w:rFonts w:ascii="Times New Roman" w:hAnsi="Times New Roman"/>
            <w:sz w:val="24"/>
            <w:szCs w:val="24"/>
          </w:rPr>
          <w:t xml:space="preserve">7.2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9" w:tooltip="consultantplus://offline/ref=B689AD7A1C1BB115959EAA61CDEB402385CE774CFE23207478DE38A79F59C7B3E0DB074BC82423C3AEC66DCAF132B995AF6109C97E7643g3J" w:history="1">
        <w:r>
          <w:rPr>
            <w:rFonts w:ascii="Times New Roman" w:hAnsi="Times New Roman"/>
            <w:sz w:val="24"/>
            <w:szCs w:val="24"/>
          </w:rPr>
          <w:t xml:space="preserve">7.3 статьи 96</w:t>
        </w:r>
      </w:hyperlink>
      <w:r>
        <w:rPr>
          <w:rFonts w:ascii="Times New Roman" w:hAnsi="Times New Roman"/>
          <w:sz w:val="24"/>
          <w:szCs w:val="24"/>
        </w:rPr>
        <w:t xml:space="preserve"> Закона о контрактной системе. За каждый день просрочки исполнения Страховщиком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20" w:tooltip="consultantplus://offline/ref=B689AD7A1C1BB115959EAA61CDEB402385CE774CFE23207478DE38A79F59C7B3E0DB074ECB212A9CABD37C92FE30A78BAC7C15CB7C47g7J" w:history="1">
        <w:r>
          <w:rPr>
            <w:rFonts w:ascii="Times New Roman" w:hAnsi="Times New Roman"/>
            <w:sz w:val="24"/>
            <w:szCs w:val="24"/>
          </w:rPr>
          <w:t xml:space="preserve">частью 7</w:t>
        </w:r>
      </w:hyperlink>
      <w:r>
        <w:rPr>
          <w:rFonts w:ascii="Times New Roman" w:hAnsi="Times New Roman"/>
          <w:sz w:val="24"/>
          <w:szCs w:val="24"/>
        </w:rPr>
        <w:t xml:space="preserve"> ст. 34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 Прекращение обеспечения исполнения Контракта или не соответствующее требованиям Закона о контрактной системе обеспечение исполнения Контракта </w:t>
      </w:r>
      <w:r>
        <w:rPr>
          <w:rFonts w:ascii="Times New Roman" w:hAnsi="Times New Roman"/>
          <w:sz w:val="24"/>
          <w:szCs w:val="24"/>
        </w:rPr>
        <w:t xml:space="preserve">по истечении срока, указанного в п. 10.4 Контракта, признается существенным и является основанием для расторжения Контракта по требованию Страхователя. При этом Страхователь вправе потребовать от Страховщика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 В случае надлежащего исполнения Страховщиком обязательств по Контр</w:t>
      </w:r>
      <w:r>
        <w:rPr>
          <w:rFonts w:ascii="Times New Roman" w:hAnsi="Times New Roman"/>
          <w:sz w:val="24"/>
          <w:szCs w:val="24"/>
        </w:rPr>
        <w:t xml:space="preserve">акту обеспечение исполнения Контракта подлежит возврату Страховщику. Страхователь осуществляет возврат денежных средств на расчетный счет Страховщика, указанный в Контракте, после оказания всего объема Услуг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Страхователем документа о приемке, при отсутствии у Страхователя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Страховщиком в кач</w:t>
      </w:r>
      <w:r>
        <w:rPr>
          <w:rFonts w:ascii="Times New Roman" w:hAnsi="Times New Roman"/>
          <w:sz w:val="24"/>
          <w:szCs w:val="24"/>
        </w:rPr>
        <w:t xml:space="preserve">естве обеспечения исполнения контракта, по заявлению Страховщика подлежит возврату Страховщику в течение 15 (пятнадцати) дней с даты получения Страхователем указанного заявления, при отсутствии у Страхователя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Страховщиком обязательств, предусмотренных Контрактом, Страхователь вправе осуществить удержание суммы неустойки (штрафа, пени) из обеспечения исполнения Контракта, предоставленного Страховщиком.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10.7. Обеспечение исполнения Контракта сохраняет свою силу при изменении законодательства Российской Федерации, а также при реорганизации Страховщика или Страхователя.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10.8. Все затраты, связанные с заключением и оформлением договоров и иных документов по обеспечению исполнения Контракта, несет Страховщик.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10.9. Страховщик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10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11.Срок исполнения, порядок изменения и расторжения Контракта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both"/>
        <w:spacing w:before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11.1. 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11.2. </w:t>
      </w:r>
      <w:r>
        <w:rPr>
          <w:rFonts w:ascii="Times New Roman" w:hAnsi="Times New Roman" w:cs="Times New Roman"/>
          <w:sz w:val="24"/>
          <w:szCs w:val="24"/>
        </w:rPr>
        <w:t xml:space="preserve">Срок исполнения Контракта обеими Сторонами в полном объеме: дата начала исполнения Контракта - ____________; срок исполнения Контракта - 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afterAutospacing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*Если контрактом предусмотрены этапы, то также указываются: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pStyle w:val="863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______________; и т.д.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afterAutospacing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11.4. В случаях, установленных Законом о контрактной системе, Страхователь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863"/>
        <w:ind w:firstLine="709"/>
        <w:jc w:val="both"/>
        <w:spacing w:before="0" w:after="0" w:afterAutospacing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 Страхователь вправе принять решение об одностороннем отказе от исполнения Контракта по основаниям, предусмотренным Гражданским кодексом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11.6. </w:t>
      </w:r>
      <w:r>
        <w:rPr>
          <w:rFonts w:ascii="Times New Roman" w:hAnsi="Times New Roman"/>
          <w:spacing w:val="1"/>
          <w:sz w:val="24"/>
          <w:szCs w:val="24"/>
        </w:rPr>
        <w:t xml:space="preserve">Страховщик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/>
          <w:spacing w:val="1"/>
          <w:sz w:val="24"/>
          <w:szCs w:val="24"/>
        </w:rPr>
      </w:pPr>
      <w:r>
        <w:rPr>
          <w:rFonts w:ascii="Times New Roman" w:hAnsi="Times New Roman" w:eastAsia="Times New Roman"/>
          <w:spacing w:val="1"/>
          <w:sz w:val="24"/>
          <w:szCs w:val="24"/>
        </w:rPr>
      </w:r>
      <w:r>
        <w:rPr>
          <w:rFonts w:ascii="Times New Roman" w:hAnsi="Times New Roman" w:eastAsia="Times New Roman"/>
          <w:spacing w:val="1"/>
          <w:sz w:val="24"/>
          <w:szCs w:val="24"/>
        </w:rPr>
      </w:r>
      <w:r>
        <w:rPr>
          <w:rFonts w:ascii="Times New Roman" w:hAnsi="Times New Roman" w:eastAsia="Times New Roman"/>
          <w:spacing w:val="1"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72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12. Порядок урегулирования споров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 В случае недостижения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15.1.1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contextualSpacing/>
        <w:ind w:firstLine="709"/>
        <w:jc w:val="center"/>
        <w:spacing w:before="0"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center"/>
        <w:spacing w:before="0"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center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left="0" w:right="0" w:firstLine="709"/>
        <w:jc w:val="both"/>
        <w:spacing w:before="0"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Страховщика на дату заключения Контракта лицевого счета (раздела на лицевом счете) в территориальном органе Федерального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казначейства, Страховщик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Страхователю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Страховщика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Страховщиком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Страховщиком,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доставке сообщений электросвязи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ицевом счете при наличии оснований, указанных в п. 10 и 11 статьи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 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 Для санкционирования операций с целевыми средствами Страховщик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bCs/>
          <w:sz w:val="16"/>
          <w:szCs w:val="16"/>
          <w:highlight w:val="white"/>
        </w:rPr>
      </w:pP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bCs/>
          <w:sz w:val="16"/>
          <w:szCs w:val="16"/>
          <w:highlight w:val="white"/>
        </w:rPr>
      </w:pP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Страховщиком и всеми привлекаемыми в ходе испо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лнения Контракта соисполнителями,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Страхователя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 банковское сопровождение Контракта из пер</w:t>
      </w:r>
      <w:r>
        <w:rPr>
          <w:rFonts w:ascii="Times New Roman" w:hAnsi="Times New Roman"/>
          <w:sz w:val="24"/>
          <w:szCs w:val="24"/>
          <w:highlight w:val="white"/>
        </w:rPr>
        <w:t xml:space="preserve">ечня, указанного в п. 14.2 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банко</w:t>
      </w:r>
      <w:r>
        <w:rPr>
          <w:rFonts w:ascii="Times New Roman" w:hAnsi="Times New Roman"/>
          <w:sz w:val="24"/>
          <w:szCs w:val="24"/>
          <w:highlight w:val="white"/>
        </w:rPr>
        <w:t xml:space="preserve">м и Страховщиком заключен договор о предоставлении независимой гарантии 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отка</w:t>
      </w:r>
      <w:r>
        <w:rPr>
          <w:rFonts w:ascii="Times New Roman" w:hAnsi="Times New Roman"/>
          <w:sz w:val="24"/>
          <w:szCs w:val="24"/>
          <w:highlight w:val="white"/>
        </w:rPr>
        <w:t xml:space="preserve">зался от его заключения). В иных случаях, а также в случае отказа банка от заключения договора о банковском сопровождении Страховщик выбирает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Страховщику,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</w:t>
      </w:r>
      <w:r>
        <w:rPr>
          <w:rFonts w:ascii="Times New Roman" w:hAnsi="Times New Roman"/>
          <w:sz w:val="24"/>
          <w:szCs w:val="24"/>
          <w:highlight w:val="white"/>
        </w:rPr>
        <w:t xml:space="preserve">я по требованию Страхователя денежных средств с отдельного счета, открытого Страховщику,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Страхователю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сведения о результатах проведенной банком идентификации Страховщика, соисполнителей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Страховщик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 осуществлять расчеты, связанные</w:t>
      </w:r>
      <w:r>
        <w:rPr>
          <w:rFonts w:ascii="Times New Roman" w:hAnsi="Times New Roman"/>
          <w:sz w:val="24"/>
          <w:szCs w:val="24"/>
          <w:highlight w:val="white"/>
        </w:rPr>
        <w:t xml:space="preserve">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 определять в договорах, заключа</w:t>
      </w:r>
      <w:r>
        <w:rPr>
          <w:rFonts w:ascii="Times New Roman" w:hAnsi="Times New Roman"/>
          <w:sz w:val="24"/>
          <w:szCs w:val="24"/>
          <w:highlight w:val="white"/>
        </w:rPr>
        <w:t xml:space="preserve">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Страхователю и банку сведения о привлекаемых им в рамках исполнения обязат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 по сопровождаемому контракту соисполнителях (полное наименование соисполнителя, местонахождение соисполнителя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Страховщик несет ответственность за несоблюдение условий о банковском сопровождении контракта в соответствии с разделом 9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расчетов по контракту с банковским сопровождением контрагенту (соисполнителю) не нужно открывать отдельный счет, если он не совершает операций, отражаемые на таком счете. Страховщик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Страхователь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63"/>
        <w:ind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15.Прочие условия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15.1. </w:t>
      </w:r>
      <w:r>
        <w:rPr>
          <w:rFonts w:ascii="Times New Roman" w:hAnsi="Times New Roman"/>
          <w:sz w:val="24"/>
          <w:szCs w:val="24"/>
        </w:rPr>
        <w:t xml:space="preserve">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 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электро</w:t>
      </w:r>
      <w:r>
        <w:rPr>
          <w:rFonts w:ascii="Times New Roman" w:hAnsi="Times New Roman"/>
          <w:sz w:val="24"/>
          <w:szCs w:val="24"/>
        </w:rPr>
        <w:t xml:space="preserve">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Страхователя, Страховщика,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firstLine="709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Страхователя по Контракту права и обязанности Страхователя по Контракту переходят к новому страхователю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5.4. При исполнении Контракта не допускается перемена Страховщика, за исключением случаев, если новый страховщик является правопреемником Страховщика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20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16. Приложения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16.1. Неотъемлемыми частями Контракта являются следующие приложения к Контракту: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1 «Описание объекта закупки»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2 «Акт приема-передачи страховых полисов (форма)»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63"/>
        <w:ind w:firstLine="720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jc w:val="center"/>
        <w:keepLines/>
        <w:keepNext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63"/>
        <w:numPr>
          <w:ilvl w:val="0"/>
          <w:numId w:val="0"/>
        </w:num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2" w:name="undefined"/>
      <w:r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17. Адреса и реквизиты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left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63"/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Адреса и реквизиты Сторон указаны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right"/>
        <w:keepLines/>
        <w:keepNext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</w:t>
      </w:r>
      <w:r>
        <w:rPr>
          <w:rFonts w:ascii="Times New Roman" w:hAnsi="Times New Roman"/>
          <w:bCs/>
          <w:sz w:val="24"/>
          <w:szCs w:val="24"/>
        </w:rPr>
        <w:t xml:space="preserve">____ от «____» __________20_ г.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jc w:val="center"/>
        <w:keepLines/>
        <w:keepNext/>
        <w:spacing w:before="0" w:after="0" w:line="240" w:lineRule="auto"/>
        <w:tabs>
          <w:tab w:val="clear" w:pos="708" w:leader="none"/>
          <w:tab w:val="left" w:pos="5460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ОПИСАНИЕ ОБЪЕКТА ЗАКУПКИ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 услуг по обязательному страхованию гражданской ответственности владельцев</w:t>
      </w:r>
      <w:r>
        <w:rPr>
          <w:rFonts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транспортных средств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обязан оказать услуги по обязательному страхованию гражданской ответственности владельцев транспортных ср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едств. Услуги должны быть оказаны в соответствии с требованиями Федерального закона от 25.04.2002 № 40-ФЗ «Об обязательном страховании гражданской ответственности владельцев транспортных средств», другими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Общее количество транспортных средств, подлежащих страхованию, указано в приложении № 2 к «Описанию объекта закупки».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оказания услуг: период страхования гражданской ответственности владельцев транспортных средств – в течение 12 (двенадцати) месяцев с момента выдачи страхового полиса на каждое транспортное средство. Срок выдачи полисов 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должен гарантировать качество услуг в соответствии с законодательством Российской Федерации, в том числе: в соответствии с Федеральным законом от 25.04.200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 № 40-ФЗ «Об обязательном страховании гражданской ответственности владельцев транспортных средств», Положением о правилах обязательного страхования гражданской ответственности владельцев транспортных средств, утвержденным Банком России 19.09.2014 № 431-П.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Объем предоставления гарантий качества товара, работ, услуг распрос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траняются на все оказанные услуги в полном объеме. При выявлении недостатков в оказанных услугах во время их оказания и после оказания услуг Страховщик обеспечивает за свой счет незамедлительное устранение допущенных по вине Страховой компании недостатков.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jc w:val="right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jc w:val="right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863"/>
        <w:jc w:val="center"/>
        <w:spacing w:line="240" w:lineRule="auto"/>
        <w:rPr>
          <w:rFonts w:ascii="Times New Roman" w:hAnsi="Times New Roman" w:eastAsia="Calibri" w:eastAsiaTheme="minorHAnsi"/>
          <w:b/>
          <w:sz w:val="24"/>
          <w:szCs w:val="24"/>
        </w:rPr>
      </w:pP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</w:p>
    <w:p>
      <w:pPr>
        <w:pStyle w:val="863"/>
        <w:jc w:val="center"/>
        <w:spacing w:line="240" w:lineRule="auto"/>
        <w:rPr>
          <w:rFonts w:ascii="Times New Roman" w:hAnsi="Times New Roman" w:eastAsia="Calibri" w:eastAsiaTheme="minorHAnsi"/>
          <w:b/>
          <w:sz w:val="24"/>
          <w:szCs w:val="24"/>
        </w:rPr>
      </w:pPr>
      <w:r>
        <w:rPr>
          <w:rFonts w:ascii="Times New Roman" w:hAnsi="Times New Roman" w:eastAsia="Calibri" w:eastAsiaTheme="minorHAnsi"/>
          <w:b/>
          <w:sz w:val="24"/>
          <w:szCs w:val="24"/>
        </w:rPr>
        <w:t xml:space="preserve">Перечень единиц услуг</w:t>
      </w: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</w:p>
    <w:p>
      <w:pPr>
        <w:pStyle w:val="863"/>
        <w:jc w:val="center"/>
        <w:spacing w:line="240" w:lineRule="auto"/>
        <w:rPr>
          <w:rFonts w:ascii="Times New Roman" w:hAnsi="Times New Roman" w:eastAsia="Calibri" w:eastAsiaTheme="minorHAnsi"/>
          <w:b/>
          <w:sz w:val="24"/>
          <w:szCs w:val="24"/>
        </w:rPr>
      </w:pP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</w:p>
    <w:tbl>
      <w:tblPr>
        <w:tblW w:w="9527" w:type="dxa"/>
        <w:tblInd w:w="-34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3"/>
        <w:gridCol w:w="4373"/>
        <w:gridCol w:w="1828"/>
        <w:gridCol w:w="2552"/>
      </w:tblGrid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/>
                <w:b/>
              </w:rPr>
              <w:t xml:space="preserve">№ </w:t>
            </w:r>
            <w:r>
              <w:rPr>
                <w:rFonts w:ascii="Times New Roman" w:hAnsi="Times New Roman" w:eastAsia="Calibri" w:eastAsiaTheme="minorHAnsi"/>
                <w:b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73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eastAsiaTheme="minorHAnsi"/>
                <w:b/>
              </w:rPr>
            </w:pPr>
            <w:r>
              <w:rPr>
                <w:rFonts w:ascii="Times New Roman" w:hAnsi="Times New Roman" w:eastAsia="Calibri" w:eastAsiaTheme="minorHAnsi"/>
                <w:b/>
              </w:rPr>
              <w:t xml:space="preserve">Наименование услуг</w:t>
            </w:r>
            <w:r>
              <w:rPr>
                <w:rFonts w:ascii="Times New Roman" w:hAnsi="Times New Roman" w:eastAsia="Calibri" w:eastAsiaTheme="minorHAnsi"/>
                <w:b/>
              </w:rPr>
            </w:r>
            <w:r>
              <w:rPr>
                <w:rFonts w:ascii="Times New Roman" w:hAnsi="Times New Roman" w:eastAsia="Calibri" w:eastAsiaTheme="minorHAnsi"/>
                <w:b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/>
                <w:b/>
              </w:rPr>
              <w:t xml:space="preserve">(по каждому автомобилю)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/>
                <w:b/>
              </w:rPr>
              <w:t xml:space="preserve">Ед. изм.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eastAsiaTheme="minorHAnsi"/>
                <w:b/>
              </w:rPr>
            </w:pPr>
            <w:r>
              <w:rPr>
                <w:rFonts w:ascii="Times New Roman" w:hAnsi="Times New Roman" w:eastAsia="Calibri" w:eastAsiaTheme="minorHAnsi"/>
                <w:b/>
              </w:rPr>
              <w:t xml:space="preserve">Цена единицы услуги*,</w:t>
            </w:r>
            <w:r>
              <w:rPr>
                <w:rFonts w:ascii="Times New Roman" w:hAnsi="Times New Roman" w:eastAsia="Calibri" w:eastAsiaTheme="minorHAnsi"/>
                <w:b/>
              </w:rPr>
            </w:r>
            <w:r>
              <w:rPr>
                <w:rFonts w:ascii="Times New Roman" w:hAnsi="Times New Roman" w:eastAsia="Calibri" w:eastAsiaTheme="minorHAnsi"/>
                <w:b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/>
                <w:b/>
              </w:rPr>
              <w:t xml:space="preserve">руб.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3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3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3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3" w:type="dxa"/>
            <w:vAlign w:val="bottom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3" w:type="dxa"/>
            <w:vAlign w:val="bottom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3" w:type="dxa"/>
            <w:vAlign w:val="bottom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3" w:type="dxa"/>
            <w:vAlign w:val="bottom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3" w:type="dxa"/>
            <w:vAlign w:val="bottom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3" w:type="dxa"/>
            <w:vAlign w:val="bottom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4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  <w:t xml:space="preserve">Сумма цен единиц услуг**</w:t>
            </w:r>
            <w:r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eastAsiaTheme="minorHAnsi"/>
                <w:b/>
                <w:sz w:val="24"/>
                <w:szCs w:val="24"/>
              </w:rPr>
            </w:r>
          </w:p>
        </w:tc>
      </w:tr>
    </w:tbl>
    <w:p>
      <w:pPr>
        <w:pStyle w:val="863"/>
        <w:jc w:val="center"/>
        <w:spacing w:line="240" w:lineRule="auto"/>
        <w:rPr>
          <w:rFonts w:ascii="Times New Roman" w:hAnsi="Times New Roman" w:eastAsia="Calibri" w:eastAsiaTheme="minorHAnsi"/>
          <w:b/>
          <w:sz w:val="24"/>
          <w:szCs w:val="24"/>
        </w:rPr>
      </w:pP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  <w:r>
        <w:rPr>
          <w:rFonts w:ascii="Times New Roman" w:hAnsi="Times New Roman" w:eastAsia="Calibri" w:eastAsiaTheme="minorHAnsi"/>
          <w:b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указана начальная цена единицы услуги.  По результатам то</w:t>
      </w:r>
      <w:r>
        <w:rPr>
          <w:rFonts w:ascii="Times New Roman" w:hAnsi="Times New Roman"/>
          <w:sz w:val="24"/>
          <w:szCs w:val="24"/>
        </w:rPr>
        <w:t xml:space="preserve">ргов цена единицы услуги определяется путем уменьшения начальной цены такой единицы, указанной в извещении об осуществлении закупки, пропорционально снижению начальной суммы цен единиц услуг, предложенному участником закупки, с которым заключается контракт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указана начальная сумма цен единицы услуг.  По результатам торгов будет указана сумма цен единиц услуг, предложенная участником закупки, с которым заключается контракт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3" w:right="567" w:bottom="567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jc w:val="right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3"/>
        <w:jc w:val="right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«Описанию объекта закупки»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Сведения о транспортных средствах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1459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5"/>
        <w:gridCol w:w="945"/>
        <w:gridCol w:w="1273"/>
        <w:gridCol w:w="2290"/>
        <w:gridCol w:w="1683"/>
        <w:gridCol w:w="1416"/>
        <w:gridCol w:w="2136"/>
        <w:gridCol w:w="1731"/>
        <w:gridCol w:w="2675"/>
      </w:tblGrid>
      <w:tr>
        <w:tblPrEx/>
        <w:trPr>
          <w:trHeight w:val="776"/>
        </w:trPr>
        <w:tc>
          <w:tcPr>
            <w:tcW w:w="44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Марка, модель 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Категория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11931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Значение коэффициента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vMerge w:val="continue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Территории преимущественного использования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КБМ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0"/>
              </w:num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0"/>
              </w:num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Наличия сведений о количестве лиц, допущенных к управлению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Сезонного использования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Мощности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tcW w:w="4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tcW w:w="4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6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75" w:type="dxa"/>
            <w:textDirection w:val="lrTb"/>
            <w:noWrap w:val="false"/>
          </w:tcPr>
          <w:p>
            <w:pPr>
              <w:pStyle w:val="86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63"/>
        <w:spacing w:before="0" w:after="0" w:line="240" w:lineRule="auto"/>
        <w:tabs>
          <w:tab w:val="clear" w:pos="708" w:leader="none"/>
          <w:tab w:val="left" w:pos="1411" w:leader="none"/>
        </w:tabs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63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Число лиц, допущенных к управлению транспортными средствами – _______________.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766" w:right="1134" w:bottom="737" w:left="1134" w:header="709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Полная информация по транспортным средствам, необходимая для заполнения полиса ОСАГО, будет предоставлена победителю закупки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63"/>
        <w:jc w:val="right"/>
        <w:keepLines/>
        <w:keepNext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 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</w:t>
      </w:r>
      <w:r>
        <w:rPr>
          <w:rFonts w:ascii="Times New Roman" w:hAnsi="Times New Roman"/>
          <w:bCs/>
          <w:sz w:val="24"/>
          <w:szCs w:val="24"/>
        </w:rPr>
        <w:t xml:space="preserve">____ от «____» __________20_ г.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3"/>
        <w:jc w:val="right"/>
        <w:keepLines/>
        <w:keepNext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 – передачи страховых полисов (форма)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jc w:val="center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Контракту №______ от «__» _____ 20_ г.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 </w:t>
        <w:tab/>
        <w:tab/>
        <w:tab/>
        <w:tab/>
        <w:tab/>
        <w:tab/>
        <w:tab/>
        <w:tab/>
        <w:tab/>
        <w:t xml:space="preserve">«___»________20_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________________________________________________, именуемое в дальнейшем «Страхователь»,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_______________________________, действующего на основании __________________________________________________, с одной стороны, и 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_______________________________________________________, именуемое в дальнейшем «Страховщик», в лице _______________________________, действующего на основании __________________________________________________, с другой стороны, вместе именуемые «Стороны»</w:t>
      </w:r>
      <w:r>
        <w:rPr>
          <w:rFonts w:ascii="Times New Roman" w:hAnsi="Times New Roman"/>
          <w:sz w:val="24"/>
          <w:szCs w:val="24"/>
        </w:rPr>
        <w:t xml:space="preserve">, составили настоящий Акт о том, что «__»____20__г. Страховщиком выполнены условия государственного контракта № _____ от «__»____20__г., а именно: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Страховщиком оформлено и выдано, а Страхователем получено ____(___) страховых полисов обязательного страхования гражданской ответственности владельцев транспортных средств.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оказанных Страховщиком услуг по государственному контракту №_____ от «__»____20__г. составила ________ рублей (______), НДС 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претензий друг к другу не имеют.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keepLines/>
        <w:keepNext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keepLines/>
        <w:keepNext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keepLines/>
        <w:keepNext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страховых полисов.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keepLines/>
        <w:keepNext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3"/>
        <w:keepLines/>
        <w:keepNext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Подписи сторон: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925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4288"/>
      </w:tblGrid>
      <w:tr>
        <w:tblPrEx/>
        <w:trPr>
          <w:trHeight w:val="275"/>
        </w:trPr>
        <w:tc>
          <w:tcPr>
            <w:tcW w:w="5636" w:type="dxa"/>
            <w:textDirection w:val="lrTb"/>
            <w:noWrap w:val="false"/>
          </w:tcPr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Страховщик: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_______________/___________________/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88" w:type="dxa"/>
            <w:textDirection w:val="lrTb"/>
            <w:noWrap w:val="false"/>
          </w:tcPr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Страхователь: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_______________/________________/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3"/>
              <w:keepLines/>
              <w:keepNext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Акта согласована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1"/>
        <w:jc w:val="center"/>
        <w:rPr>
          <w:rFonts w:ascii="Times New Roman" w:hAnsi="Times New Roman" w:cs="Times New Roman"/>
          <w:b/>
          <w:sz w:val="24"/>
          <w:szCs w:val="24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709" w:bottom="1134" w:left="1134" w:header="709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3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2"/>
      <w:footnotePr/>
      <w:endnotePr/>
      <w:type w:val="nextPage"/>
      <w:pgSz w:w="11906" w:h="16838" w:orient="portrait"/>
      <w:pgMar w:top="1134" w:right="709" w:bottom="1134" w:left="1134" w:header="709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character" w:styleId="861">
    <w:name w:val="footnote reference"/>
    <w:basedOn w:val="895"/>
    <w:uiPriority w:val="99"/>
    <w:unhideWhenUsed/>
    <w:rPr>
      <w:vertAlign w:val="superscript"/>
    </w:rPr>
  </w:style>
  <w:style w:type="character" w:styleId="862">
    <w:name w:val="endnote reference"/>
    <w:basedOn w:val="895"/>
    <w:uiPriority w:val="99"/>
    <w:semiHidden/>
    <w:unhideWhenUsed/>
    <w:rPr>
      <w:vertAlign w:val="superscript"/>
    </w:rPr>
  </w:style>
  <w:style w:type="paragraph" w:styleId="86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864">
    <w:name w:val="Heading 1"/>
    <w:basedOn w:val="863"/>
    <w:qFormat/>
    <w:pPr>
      <w:keepNext/>
      <w:spacing w:before="120" w:after="120" w:line="360" w:lineRule="auto"/>
      <w:outlineLvl w:val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865">
    <w:name w:val="Heading 2"/>
    <w:basedOn w:val="8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6">
    <w:name w:val="Heading 3"/>
    <w:basedOn w:val="8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7">
    <w:name w:val="Heading 4"/>
    <w:basedOn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8">
    <w:name w:val="Heading 5"/>
    <w:basedOn w:val="8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9">
    <w:name w:val="Heading 6"/>
    <w:basedOn w:val="8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0">
    <w:name w:val="Heading 7"/>
    <w:basedOn w:val="8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1">
    <w:name w:val="Heading 8"/>
    <w:basedOn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8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>
    <w:name w:val="Heading 1 Char"/>
    <w:basedOn w:val="895"/>
    <w:uiPriority w:val="9"/>
    <w:qFormat/>
    <w:rPr>
      <w:rFonts w:ascii="Arial" w:hAnsi="Arial" w:eastAsia="Arial" w:cs="Arial"/>
      <w:sz w:val="40"/>
      <w:szCs w:val="40"/>
    </w:rPr>
  </w:style>
  <w:style w:type="character" w:styleId="874">
    <w:name w:val="Heading 2 Char"/>
    <w:basedOn w:val="895"/>
    <w:uiPriority w:val="9"/>
    <w:qFormat/>
    <w:rPr>
      <w:rFonts w:ascii="Arial" w:hAnsi="Arial" w:eastAsia="Arial" w:cs="Arial"/>
      <w:sz w:val="34"/>
    </w:rPr>
  </w:style>
  <w:style w:type="character" w:styleId="875">
    <w:name w:val="Heading 3 Char"/>
    <w:basedOn w:val="895"/>
    <w:uiPriority w:val="9"/>
    <w:qFormat/>
    <w:rPr>
      <w:rFonts w:ascii="Arial" w:hAnsi="Arial" w:eastAsia="Arial" w:cs="Arial"/>
      <w:sz w:val="30"/>
      <w:szCs w:val="30"/>
    </w:rPr>
  </w:style>
  <w:style w:type="character" w:styleId="876">
    <w:name w:val="Heading 4 Char"/>
    <w:basedOn w:val="89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7">
    <w:name w:val="Heading 5 Char"/>
    <w:basedOn w:val="89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8">
    <w:name w:val="Heading 6 Char"/>
    <w:basedOn w:val="89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9">
    <w:name w:val="Heading 7 Char"/>
    <w:basedOn w:val="89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0">
    <w:name w:val="Heading 8 Char"/>
    <w:basedOn w:val="89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1">
    <w:name w:val="Heading 9 Char"/>
    <w:basedOn w:val="89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2">
    <w:name w:val="Title Char"/>
    <w:basedOn w:val="895"/>
    <w:uiPriority w:val="10"/>
    <w:qFormat/>
    <w:rPr>
      <w:sz w:val="48"/>
      <w:szCs w:val="48"/>
    </w:rPr>
  </w:style>
  <w:style w:type="character" w:styleId="883">
    <w:name w:val="Subtitle Char"/>
    <w:basedOn w:val="895"/>
    <w:uiPriority w:val="11"/>
    <w:qFormat/>
    <w:rPr>
      <w:sz w:val="24"/>
      <w:szCs w:val="24"/>
    </w:rPr>
  </w:style>
  <w:style w:type="character" w:styleId="884">
    <w:name w:val="Quote Char"/>
    <w:uiPriority w:val="29"/>
    <w:qFormat/>
    <w:rPr>
      <w:i/>
    </w:rPr>
  </w:style>
  <w:style w:type="character" w:styleId="885">
    <w:name w:val="Intense Quote Char"/>
    <w:uiPriority w:val="30"/>
    <w:qFormat/>
    <w:rPr>
      <w:i/>
    </w:rPr>
  </w:style>
  <w:style w:type="character" w:styleId="886">
    <w:name w:val="Header Char"/>
    <w:basedOn w:val="895"/>
    <w:uiPriority w:val="99"/>
    <w:qFormat/>
  </w:style>
  <w:style w:type="character" w:styleId="887">
    <w:name w:val="Footer Char"/>
    <w:basedOn w:val="895"/>
    <w:uiPriority w:val="99"/>
    <w:qFormat/>
  </w:style>
  <w:style w:type="character" w:styleId="888">
    <w:name w:val="Caption Char"/>
    <w:uiPriority w:val="99"/>
    <w:qFormat/>
  </w:style>
  <w:style w:type="character" w:styleId="889">
    <w:name w:val="Footnote Text Char"/>
    <w:uiPriority w:val="99"/>
    <w:qFormat/>
    <w:rPr>
      <w:sz w:val="18"/>
    </w:rPr>
  </w:style>
  <w:style w:type="character" w:styleId="890">
    <w:name w:val="Привязка сноски"/>
    <w:rPr>
      <w:vertAlign w:val="superscript"/>
    </w:rPr>
  </w:style>
  <w:style w:type="character" w:styleId="891">
    <w:name w:val="Footnote Characters"/>
    <w:uiPriority w:val="99"/>
    <w:unhideWhenUsed/>
    <w:qFormat/>
    <w:rPr>
      <w:vertAlign w:val="superscript"/>
    </w:rPr>
  </w:style>
  <w:style w:type="character" w:styleId="892">
    <w:name w:val="Endnote Text Char"/>
    <w:uiPriority w:val="99"/>
    <w:qFormat/>
    <w:rPr>
      <w:sz w:val="20"/>
    </w:rPr>
  </w:style>
  <w:style w:type="character" w:styleId="893">
    <w:name w:val="Привязка концевой сноски"/>
    <w:rPr>
      <w:vertAlign w:val="superscript"/>
    </w:rPr>
  </w:style>
  <w:style w:type="character" w:styleId="894">
    <w:name w:val="Endnote Characters"/>
    <w:uiPriority w:val="99"/>
    <w:semiHidden/>
    <w:unhideWhenUsed/>
    <w:qFormat/>
    <w:rPr>
      <w:vertAlign w:val="superscript"/>
    </w:rPr>
  </w:style>
  <w:style w:type="character" w:styleId="895" w:default="1">
    <w:name w:val="Default Paragraph Font"/>
    <w:uiPriority w:val="1"/>
    <w:semiHidden/>
    <w:unhideWhenUsed/>
    <w:qFormat/>
  </w:style>
  <w:style w:type="character" w:styleId="896" w:customStyle="1">
    <w:name w:val="ConsPlusNormal Знак"/>
    <w:uiPriority w:val="99"/>
    <w:qFormat/>
    <w:rPr>
      <w:rFonts w:ascii="Arial" w:hAnsi="Arial" w:eastAsia="Times New Roman" w:cs="Arial"/>
      <w:sz w:val="20"/>
      <w:szCs w:val="20"/>
    </w:rPr>
  </w:style>
  <w:style w:type="character" w:styleId="897" w:customStyle="1">
    <w:name w:val="No Spacing Char"/>
    <w:qFormat/>
    <w:rPr>
      <w:rFonts w:eastAsia="Times New Roman"/>
      <w:lang w:eastAsia="en-US"/>
    </w:rPr>
  </w:style>
  <w:style w:type="character" w:styleId="898" w:customStyle="1">
    <w:name w:val="Текст выноски Знак"/>
    <w:basedOn w:val="895"/>
    <w:uiPriority w:val="99"/>
    <w:semiHidden/>
    <w:qFormat/>
    <w:rPr>
      <w:rFonts w:ascii="Tahoma" w:hAnsi="Tahoma" w:cs="Tahoma"/>
      <w:sz w:val="16"/>
      <w:szCs w:val="16"/>
    </w:rPr>
  </w:style>
  <w:style w:type="character" w:styleId="899" w:customStyle="1">
    <w:name w:val="Заголовок 1 Знак"/>
    <w:basedOn w:val="895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900">
    <w:name w:val="annotation reference"/>
    <w:uiPriority w:val="99"/>
    <w:semiHidden/>
    <w:unhideWhenUsed/>
    <w:qFormat/>
    <w:rPr>
      <w:sz w:val="16"/>
      <w:szCs w:val="16"/>
    </w:rPr>
  </w:style>
  <w:style w:type="character" w:styleId="901" w:customStyle="1">
    <w:name w:val="Текст примечания Знак"/>
    <w:basedOn w:val="895"/>
    <w:uiPriority w:val="99"/>
    <w:semiHidden/>
    <w:qFormat/>
    <w:rPr>
      <w:sz w:val="20"/>
      <w:szCs w:val="20"/>
    </w:rPr>
  </w:style>
  <w:style w:type="character" w:styleId="902" w:customStyle="1">
    <w:name w:val="Тема примечания Знак"/>
    <w:basedOn w:val="901"/>
    <w:uiPriority w:val="99"/>
    <w:semiHidden/>
    <w:qFormat/>
    <w:rPr>
      <w:b/>
      <w:bCs/>
      <w:sz w:val="20"/>
      <w:szCs w:val="20"/>
    </w:rPr>
  </w:style>
  <w:style w:type="character" w:styleId="903">
    <w:name w:val="Интернет-ссылка"/>
    <w:uiPriority w:val="99"/>
    <w:unhideWhenUsed/>
    <w:rPr>
      <w:color w:val="0000ff"/>
      <w:u w:val="single"/>
    </w:rPr>
  </w:style>
  <w:style w:type="character" w:styleId="904" w:customStyle="1">
    <w:name w:val="Верхний колонтитул Знак"/>
    <w:basedOn w:val="895"/>
    <w:uiPriority w:val="99"/>
    <w:qFormat/>
    <w:rPr>
      <w:rFonts w:ascii="Calibri" w:hAnsi="Calibri" w:eastAsia="Calibri" w:cs="Times New Roman"/>
      <w:lang w:eastAsia="en-US"/>
    </w:rPr>
  </w:style>
  <w:style w:type="paragraph" w:styleId="905">
    <w:name w:val="Заголовок"/>
    <w:basedOn w:val="863"/>
    <w:next w:val="9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06">
    <w:name w:val="Body Text"/>
    <w:basedOn w:val="863"/>
    <w:pPr>
      <w:spacing w:before="0" w:after="140" w:line="276" w:lineRule="auto"/>
    </w:pPr>
  </w:style>
  <w:style w:type="paragraph" w:styleId="907">
    <w:name w:val="List"/>
    <w:basedOn w:val="906"/>
    <w:rPr>
      <w:rFonts w:cs="Droid Sans Devanagari"/>
    </w:rPr>
  </w:style>
  <w:style w:type="paragraph" w:styleId="908">
    <w:name w:val="Caption"/>
    <w:basedOn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9">
    <w:name w:val="Указатель"/>
    <w:basedOn w:val="863"/>
    <w:qFormat/>
    <w:pPr>
      <w:suppressLineNumbers/>
    </w:pPr>
    <w:rPr>
      <w:rFonts w:cs="Droid Sans Devanagari"/>
    </w:rPr>
  </w:style>
  <w:style w:type="paragraph" w:styleId="91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911">
    <w:name w:val="Title"/>
    <w:basedOn w:val="86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12">
    <w:name w:val="Subtitle"/>
    <w:basedOn w:val="863"/>
    <w:uiPriority w:val="11"/>
    <w:qFormat/>
    <w:pPr>
      <w:spacing w:before="200" w:after="200"/>
    </w:pPr>
    <w:rPr>
      <w:sz w:val="24"/>
      <w:szCs w:val="24"/>
    </w:rPr>
  </w:style>
  <w:style w:type="paragraph" w:styleId="913">
    <w:name w:val="Quote"/>
    <w:basedOn w:val="863"/>
    <w:uiPriority w:val="29"/>
    <w:qFormat/>
    <w:pPr>
      <w:ind w:left="720" w:right="720" w:firstLine="0"/>
    </w:pPr>
    <w:rPr>
      <w:i/>
    </w:rPr>
  </w:style>
  <w:style w:type="paragraph" w:styleId="914">
    <w:name w:val="Intense Quote"/>
    <w:basedOn w:val="86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5">
    <w:name w:val="Верхний и нижний колонтитулы"/>
    <w:basedOn w:val="863"/>
    <w:qFormat/>
  </w:style>
  <w:style w:type="paragraph" w:styleId="916">
    <w:name w:val="Footer"/>
    <w:basedOn w:val="86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17">
    <w:name w:val="footnote text"/>
    <w:basedOn w:val="86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8">
    <w:name w:val="endnote text"/>
    <w:basedOn w:val="86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9">
    <w:name w:val="toc 1"/>
    <w:basedOn w:val="863"/>
    <w:uiPriority w:val="39"/>
    <w:unhideWhenUsed/>
    <w:pPr>
      <w:ind w:left="0" w:right="0" w:firstLine="0"/>
      <w:spacing w:before="0" w:after="57"/>
    </w:pPr>
  </w:style>
  <w:style w:type="paragraph" w:styleId="920">
    <w:name w:val="toc 2"/>
    <w:basedOn w:val="863"/>
    <w:uiPriority w:val="39"/>
    <w:unhideWhenUsed/>
    <w:pPr>
      <w:ind w:left="283" w:right="0" w:firstLine="0"/>
      <w:spacing w:before="0" w:after="57"/>
    </w:pPr>
  </w:style>
  <w:style w:type="paragraph" w:styleId="921">
    <w:name w:val="toc 3"/>
    <w:basedOn w:val="863"/>
    <w:uiPriority w:val="39"/>
    <w:unhideWhenUsed/>
    <w:pPr>
      <w:ind w:left="567" w:right="0" w:firstLine="0"/>
      <w:spacing w:before="0" w:after="57"/>
    </w:pPr>
  </w:style>
  <w:style w:type="paragraph" w:styleId="922">
    <w:name w:val="toc 4"/>
    <w:basedOn w:val="863"/>
    <w:uiPriority w:val="39"/>
    <w:unhideWhenUsed/>
    <w:pPr>
      <w:ind w:left="850" w:right="0" w:firstLine="0"/>
      <w:spacing w:before="0" w:after="57"/>
    </w:pPr>
  </w:style>
  <w:style w:type="paragraph" w:styleId="923">
    <w:name w:val="toc 5"/>
    <w:basedOn w:val="863"/>
    <w:uiPriority w:val="39"/>
    <w:unhideWhenUsed/>
    <w:pPr>
      <w:ind w:left="1134" w:right="0" w:firstLine="0"/>
      <w:spacing w:before="0" w:after="57"/>
    </w:pPr>
  </w:style>
  <w:style w:type="paragraph" w:styleId="924">
    <w:name w:val="toc 6"/>
    <w:basedOn w:val="863"/>
    <w:uiPriority w:val="39"/>
    <w:unhideWhenUsed/>
    <w:pPr>
      <w:ind w:left="1417" w:right="0" w:firstLine="0"/>
      <w:spacing w:before="0" w:after="57"/>
    </w:pPr>
  </w:style>
  <w:style w:type="paragraph" w:styleId="925">
    <w:name w:val="toc 7"/>
    <w:basedOn w:val="863"/>
    <w:uiPriority w:val="39"/>
    <w:unhideWhenUsed/>
    <w:pPr>
      <w:ind w:left="1701" w:right="0" w:firstLine="0"/>
      <w:spacing w:before="0" w:after="57"/>
    </w:pPr>
  </w:style>
  <w:style w:type="paragraph" w:styleId="926">
    <w:name w:val="toc 8"/>
    <w:basedOn w:val="863"/>
    <w:uiPriority w:val="39"/>
    <w:unhideWhenUsed/>
    <w:pPr>
      <w:ind w:left="1984" w:right="0" w:firstLine="0"/>
      <w:spacing w:before="0" w:after="57"/>
    </w:pPr>
  </w:style>
  <w:style w:type="paragraph" w:styleId="927">
    <w:name w:val="toc 9"/>
    <w:basedOn w:val="863"/>
    <w:uiPriority w:val="39"/>
    <w:unhideWhenUsed/>
    <w:pPr>
      <w:ind w:left="2268" w:right="0" w:firstLine="0"/>
      <w:spacing w:before="0" w:after="57"/>
    </w:pPr>
  </w:style>
  <w:style w:type="paragraph" w:styleId="928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929">
    <w:name w:val="table of figures"/>
    <w:basedOn w:val="863"/>
    <w:uiPriority w:val="99"/>
    <w:unhideWhenUsed/>
    <w:qFormat/>
    <w:pPr>
      <w:spacing w:before="0" w:after="0" w:afterAutospacing="0"/>
    </w:pPr>
  </w:style>
  <w:style w:type="paragraph" w:styleId="930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931" w:customStyle="1">
    <w:name w:val="ConsPlusNonformat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32" w:customStyle="1">
    <w:name w:val="Без интервала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Times New Roman" w:cs="Arial" w:ascii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933">
    <w:name w:val="Balloon Text"/>
    <w:basedOn w:val="86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34">
    <w:name w:val="annotation text"/>
    <w:basedOn w:val="863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935">
    <w:name w:val="annotation subject"/>
    <w:basedOn w:val="934"/>
    <w:uiPriority w:val="99"/>
    <w:semiHidden/>
    <w:unhideWhenUsed/>
    <w:qFormat/>
    <w:rPr>
      <w:b/>
      <w:bCs/>
    </w:rPr>
  </w:style>
  <w:style w:type="paragraph" w:styleId="936">
    <w:name w:val="Revision"/>
    <w:uiPriority w:val="99"/>
    <w:semiHidden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937">
    <w:name w:val="List Paragraph"/>
    <w:basedOn w:val="863"/>
    <w:uiPriority w:val="34"/>
    <w:qFormat/>
    <w:pPr>
      <w:contextualSpacing/>
      <w:ind w:left="720" w:firstLine="0"/>
      <w:spacing w:before="0" w:after="200"/>
    </w:pPr>
  </w:style>
  <w:style w:type="paragraph" w:styleId="938" w:customStyle="1">
    <w:name w:val="Default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39">
    <w:name w:val="Header"/>
    <w:basedOn w:val="86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en-US"/>
    </w:rPr>
  </w:style>
  <w:style w:type="numbering" w:styleId="940" w:default="1">
    <w:name w:val="No List"/>
    <w:uiPriority w:val="99"/>
    <w:semiHidden/>
    <w:unhideWhenUsed/>
    <w:qFormat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043CC50F63ED8039A7EC2F0D865D657C0DEFAEF26B30D90DBE57B229AEAB94E335E8166D1A7079D8lBYFG" TargetMode="External"/><Relationship Id="rId15" Type="http://schemas.openxmlformats.org/officeDocument/2006/relationships/hyperlink" Target="consultantplus://offline/ref=6693DB4676F63706988E2B724E828E32E31144C450A500F40015999C4C16CB717C1E078E8BEE5C31E9AF52D769BADDE129668A11C7A5EC6468M8K" TargetMode="External"/><Relationship Id="rId16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7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8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9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20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8355-E508-4EE5-BFAC-F9C09DA6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128</cp:revision>
  <dcterms:created xsi:type="dcterms:W3CDTF">2023-03-29T10:14:00Z</dcterms:created>
  <dcterms:modified xsi:type="dcterms:W3CDTF">2024-12-25T03:21:45Z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